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19B" w:rsidRDefault="00B4419B" w:rsidP="00B4419B">
      <w:pPr>
        <w:ind w:firstLineChars="496" w:firstLine="945"/>
        <w:jc w:val="left"/>
        <w:rPr>
          <w:b/>
        </w:rPr>
      </w:pPr>
      <w:r w:rsidRPr="009305D9">
        <w:rPr>
          <w:rFonts w:hint="eastAsia"/>
          <w:b/>
        </w:rPr>
        <w:t>ａ．異動年月日</w:t>
      </w:r>
      <w:bookmarkStart w:id="0" w:name="_GoBack"/>
      <w:bookmarkEnd w:id="0"/>
    </w:p>
    <w:p w:rsidR="00B4419B" w:rsidRDefault="00B4419B" w:rsidP="00B4419B">
      <w:pPr>
        <w:ind w:firstLineChars="795" w:firstLine="1509"/>
        <w:jc w:val="left"/>
      </w:pPr>
      <w:r>
        <w:rPr>
          <w:rFonts w:hint="eastAsia"/>
        </w:rPr>
        <w:t xml:space="preserve">・　</w:t>
      </w:r>
      <w:r w:rsidRPr="00806279">
        <w:rPr>
          <w:rFonts w:hint="eastAsia"/>
        </w:rPr>
        <w:t>異動年月日が</w:t>
      </w:r>
      <w:r w:rsidRPr="008A113D">
        <w:rPr>
          <w:rFonts w:hint="eastAsia"/>
        </w:rPr>
        <w:t>開示日後となる場合には、「異動予定年月日」として記載</w:t>
      </w:r>
      <w:r>
        <w:rPr>
          <w:rFonts w:hint="eastAsia"/>
        </w:rPr>
        <w:t>する</w:t>
      </w:r>
      <w:r w:rsidRPr="00806279">
        <w:rPr>
          <w:rFonts w:hint="eastAsia"/>
        </w:rPr>
        <w:t>。</w:t>
      </w:r>
    </w:p>
    <w:p w:rsidR="00B4419B" w:rsidRPr="00806279" w:rsidRDefault="00B4419B" w:rsidP="00B4419B">
      <w:pPr>
        <w:ind w:leftChars="795" w:left="1699" w:hangingChars="100" w:hanging="190"/>
        <w:jc w:val="left"/>
      </w:pPr>
      <w:r>
        <w:rPr>
          <w:rFonts w:hint="eastAsia"/>
        </w:rPr>
        <w:t xml:space="preserve">・　</w:t>
      </w:r>
      <w:r w:rsidRPr="00806279">
        <w:rPr>
          <w:rFonts w:hint="eastAsia"/>
        </w:rPr>
        <w:t>異動年月日を確認できない場合は、会社とし</w:t>
      </w:r>
      <w:r w:rsidRPr="008A113D">
        <w:rPr>
          <w:rFonts w:hint="eastAsia"/>
        </w:rPr>
        <w:t>て異動を確認した年月日を「異動確認年月日」として記載</w:t>
      </w:r>
      <w:r>
        <w:rPr>
          <w:rFonts w:hint="eastAsia"/>
        </w:rPr>
        <w:t>する</w:t>
      </w:r>
      <w:r w:rsidRPr="00806279">
        <w:rPr>
          <w:rFonts w:hint="eastAsia"/>
        </w:rPr>
        <w:t>。</w:t>
      </w:r>
    </w:p>
    <w:p w:rsidR="00B4419B" w:rsidRPr="009305D9" w:rsidRDefault="00B4419B" w:rsidP="00B4419B">
      <w:pPr>
        <w:ind w:firstLineChars="496" w:firstLine="945"/>
        <w:jc w:val="left"/>
        <w:rPr>
          <w:b/>
        </w:rPr>
      </w:pPr>
      <w:r w:rsidRPr="009305D9">
        <w:rPr>
          <w:rFonts w:hint="eastAsia"/>
          <w:b/>
        </w:rPr>
        <w:t>ｂ．異動について上場会社が知るに至った経緯</w:t>
      </w:r>
    </w:p>
    <w:p w:rsidR="00B4419B" w:rsidRPr="009305D9" w:rsidRDefault="00B4419B" w:rsidP="00B4419B">
      <w:pPr>
        <w:ind w:firstLineChars="795" w:firstLine="1509"/>
        <w:jc w:val="left"/>
      </w:pPr>
      <w:r w:rsidRPr="009305D9">
        <w:rPr>
          <w:rFonts w:hint="eastAsia"/>
        </w:rPr>
        <w:t>・　異動の理由についても上場会社が認識し得る範囲で記載する。</w:t>
      </w:r>
    </w:p>
    <w:p w:rsidR="00B4419B" w:rsidRPr="009305D9" w:rsidRDefault="00B4419B" w:rsidP="00B4419B">
      <w:pPr>
        <w:ind w:firstLineChars="496" w:firstLine="945"/>
        <w:jc w:val="left"/>
        <w:rPr>
          <w:b/>
        </w:rPr>
      </w:pPr>
      <w:r w:rsidRPr="009305D9">
        <w:rPr>
          <w:rFonts w:hint="eastAsia"/>
          <w:b/>
        </w:rPr>
        <w:t>ｃ．異動した株主の概要</w:t>
      </w:r>
    </w:p>
    <w:p w:rsidR="00B4419B" w:rsidRPr="009305D9" w:rsidRDefault="00B4419B" w:rsidP="00B4419B">
      <w:pPr>
        <w:snapToGrid w:val="0"/>
        <w:ind w:firstLineChars="891" w:firstLine="1512"/>
        <w:jc w:val="left"/>
        <w:rPr>
          <w:sz w:val="18"/>
          <w:szCs w:val="18"/>
        </w:rPr>
      </w:pPr>
      <w:r w:rsidRPr="009305D9">
        <w:rPr>
          <w:rFonts w:hint="eastAsia"/>
          <w:sz w:val="18"/>
          <w:szCs w:val="18"/>
        </w:rPr>
        <w:t>・　名称、所在地、代表者の役職・氏名、事業内容</w:t>
      </w:r>
      <w:r>
        <w:rPr>
          <w:rFonts w:hint="eastAsia"/>
          <w:sz w:val="18"/>
          <w:szCs w:val="18"/>
        </w:rPr>
        <w:t>、</w:t>
      </w:r>
      <w:r w:rsidRPr="009305D9">
        <w:rPr>
          <w:rFonts w:hint="eastAsia"/>
          <w:sz w:val="18"/>
          <w:szCs w:val="18"/>
        </w:rPr>
        <w:t>資本金を記載する。</w:t>
      </w:r>
    </w:p>
    <w:p w:rsidR="00B4419B" w:rsidRPr="009305D9" w:rsidRDefault="00B4419B" w:rsidP="00B4419B">
      <w:pPr>
        <w:snapToGrid w:val="0"/>
        <w:ind w:firstLineChars="890" w:firstLine="1511"/>
        <w:jc w:val="left"/>
        <w:rPr>
          <w:sz w:val="18"/>
          <w:szCs w:val="18"/>
        </w:rPr>
      </w:pPr>
      <w:r w:rsidRPr="009305D9">
        <w:rPr>
          <w:rFonts w:hint="eastAsia"/>
          <w:sz w:val="18"/>
          <w:szCs w:val="18"/>
        </w:rPr>
        <w:t>※　個人の場合は、氏名、住所（市区町村まで）を記載する。</w:t>
      </w:r>
    </w:p>
    <w:p w:rsidR="00B4419B" w:rsidRPr="009305D9" w:rsidRDefault="00B4419B" w:rsidP="00B4419B">
      <w:pPr>
        <w:ind w:leftChars="500" w:left="1140" w:hangingChars="100" w:hanging="191"/>
        <w:jc w:val="left"/>
        <w:rPr>
          <w:b/>
        </w:rPr>
      </w:pPr>
      <w:r w:rsidRPr="009305D9">
        <w:rPr>
          <w:rFonts w:hint="eastAsia"/>
          <w:b/>
        </w:rPr>
        <w:t>ｄ．異動前後における当該主要株主等の所有</w:t>
      </w:r>
      <w:r>
        <w:rPr>
          <w:rFonts w:hint="eastAsia"/>
          <w:b/>
        </w:rPr>
        <w:t>する</w:t>
      </w:r>
      <w:r w:rsidRPr="009305D9">
        <w:rPr>
          <w:rFonts w:hint="eastAsia"/>
          <w:b/>
        </w:rPr>
        <w:t>議決権の数</w:t>
      </w:r>
      <w:r>
        <w:rPr>
          <w:rFonts w:hint="eastAsia"/>
          <w:b/>
        </w:rPr>
        <w:t>・</w:t>
      </w:r>
      <w:r w:rsidRPr="009305D9">
        <w:rPr>
          <w:rFonts w:hint="eastAsia"/>
          <w:b/>
        </w:rPr>
        <w:t>所有株式数、総株主の議決権の数に対する割合及び議決権のない株式として発行済株式総数から控除した株式数</w:t>
      </w:r>
    </w:p>
    <w:p w:rsidR="00B4419B" w:rsidRPr="009305D9" w:rsidRDefault="00B4419B" w:rsidP="00B4419B">
      <w:pPr>
        <w:ind w:firstLineChars="496" w:firstLine="945"/>
        <w:rPr>
          <w:b/>
        </w:rPr>
      </w:pPr>
      <w:r w:rsidRPr="009305D9">
        <w:rPr>
          <w:rFonts w:hint="eastAsia"/>
          <w:b/>
        </w:rPr>
        <w:t>ｅ．今後の見通し</w:t>
      </w:r>
    </w:p>
    <w:p w:rsidR="00B4419B" w:rsidRPr="009305D9" w:rsidRDefault="00B4419B" w:rsidP="00B4419B">
      <w:pPr>
        <w:ind w:leftChars="793" w:left="1695" w:hangingChars="100" w:hanging="190"/>
        <w:jc w:val="left"/>
      </w:pPr>
      <w:r w:rsidRPr="009305D9">
        <w:rPr>
          <w:rFonts w:hint="eastAsia"/>
        </w:rPr>
        <w:t>・　今後の方針等がある場合や当該株主の保有方針等を把握している場合は、その内容を記載する。</w:t>
      </w:r>
    </w:p>
    <w:p w:rsidR="00B4419B" w:rsidRPr="009305D9" w:rsidRDefault="00B4419B" w:rsidP="00B4419B">
      <w:pPr>
        <w:ind w:leftChars="201" w:left="381" w:firstLineChars="299" w:firstLine="570"/>
      </w:pPr>
      <w:r w:rsidRPr="009305D9">
        <w:rPr>
          <w:rFonts w:hint="eastAsia"/>
          <w:b/>
        </w:rPr>
        <w:t>ｆ．その他投資者が会社情報を適切に理解・判断するために必要な事項</w:t>
      </w:r>
    </w:p>
    <w:p w:rsidR="00705E7B" w:rsidRPr="00B4419B" w:rsidRDefault="00705E7B" w:rsidP="00B4419B"/>
    <w:sectPr w:rsidR="00705E7B" w:rsidRPr="00B4419B" w:rsidSect="00BD407F">
      <w:headerReference w:type="even" r:id="rId6"/>
      <w:headerReference w:type="default" r:id="rId7"/>
      <w:footerReference w:type="even" r:id="rId8"/>
      <w:footerReference w:type="default" r:id="rId9"/>
      <w:pgSz w:w="11906" w:h="16838" w:code="9"/>
      <w:pgMar w:top="1134" w:right="1304" w:bottom="851" w:left="1304" w:header="284" w:footer="284" w:gutter="0"/>
      <w:pgNumType w:start="383"/>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4E3" w:rsidRDefault="00AB44E3" w:rsidP="00D454C2">
      <w:r>
        <w:separator/>
      </w:r>
    </w:p>
  </w:endnote>
  <w:endnote w:type="continuationSeparator" w:id="0">
    <w:p w:rsidR="00AB44E3" w:rsidRDefault="00AB44E3"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E67" w:rsidRDefault="009E6E6B">
    <w:pPr>
      <w:pStyle w:val="a7"/>
      <w:framePr w:wrap="around" w:vAnchor="page" w:hAnchor="margin" w:xAlign="outside" w:y="16319"/>
      <w:rPr>
        <w:rStyle w:val="ab"/>
      </w:rPr>
    </w:pPr>
    <w:r>
      <w:rPr>
        <w:rStyle w:val="ab"/>
      </w:rPr>
      <w:fldChar w:fldCharType="begin"/>
    </w:r>
    <w:r>
      <w:rPr>
        <w:rStyle w:val="ab"/>
      </w:rPr>
      <w:instrText xml:space="preserve">PAGE  </w:instrText>
    </w:r>
    <w:r>
      <w:rPr>
        <w:rStyle w:val="ab"/>
      </w:rPr>
      <w:fldChar w:fldCharType="separate"/>
    </w:r>
    <w:r>
      <w:rPr>
        <w:rStyle w:val="ab"/>
        <w:noProof/>
      </w:rPr>
      <w:t>388</w:t>
    </w:r>
    <w:r>
      <w:rPr>
        <w:rStyle w:val="ab"/>
      </w:rPr>
      <w:fldChar w:fldCharType="end"/>
    </w:r>
  </w:p>
  <w:p w:rsidR="00260505" w:rsidRDefault="009E6E6B" w:rsidP="00260505">
    <w:pPr>
      <w:jc w:val="right"/>
      <w:rPr>
        <w:rFonts w:ascii="HGｺﾞｼｯｸM" w:eastAsia="HGｺﾞｼｯｸM"/>
        <w:sz w:val="16"/>
        <w:szCs w:val="16"/>
      </w:rPr>
    </w:pPr>
    <w:r>
      <w:rPr>
        <w:rFonts w:ascii="HGｺﾞｼｯｸM" w:eastAsia="HGｺﾞｼｯｸM" w:hint="eastAsia"/>
        <w:sz w:val="16"/>
        <w:szCs w:val="16"/>
      </w:rPr>
      <w:t>東京証券取引所 会社情報適時開示ガイドブック2018年8月</w:t>
    </w:r>
  </w:p>
  <w:p w:rsidR="00E76E67" w:rsidRPr="00205D42" w:rsidRDefault="009E6E6B" w:rsidP="00260505">
    <w:pPr>
      <w:jc w:val="right"/>
      <w:rPr>
        <w:rFonts w:ascii="HGｺﾞｼｯｸM" w:eastAsia="HGｺﾞｼｯｸM"/>
        <w:sz w:val="16"/>
        <w:szCs w:val="16"/>
      </w:rPr>
    </w:pPr>
    <w:r>
      <w:rPr>
        <w:rFonts w:ascii="Tahoma" w:eastAsia="HGｺﾞｼｯｸM" w:hAnsi="Tahoma" w:cs="Tahoma"/>
        <w:sz w:val="13"/>
        <w:szCs w:val="13"/>
      </w:rPr>
      <w:t>copyright © 20</w:t>
    </w:r>
    <w:r>
      <w:rPr>
        <w:rFonts w:ascii="Tahoma" w:eastAsia="HGｺﾞｼｯｸM" w:hAnsi="Tahoma" w:cs="Tahoma" w:hint="eastAsia"/>
        <w:sz w:val="13"/>
        <w:szCs w:val="13"/>
      </w:rPr>
      <w:t>18</w:t>
    </w:r>
    <w:r>
      <w:rPr>
        <w:rFonts w:ascii="Tahoma" w:eastAsia="HGｺﾞｼｯｸM" w:hAnsi="Tahoma" w:cs="Tahoma"/>
        <w:sz w:val="13"/>
        <w:szCs w:val="13"/>
      </w:rPr>
      <w:t xml:space="preserve"> Tokyo Stock Exchange, Inc.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E67" w:rsidRPr="00697F4F" w:rsidRDefault="00AB44E3" w:rsidP="00260505">
    <w:pPr>
      <w:pStyle w:val="a7"/>
      <w:ind w:right="360"/>
      <w:rPr>
        <w:rFonts w:ascii="HGｺﾞｼｯｸM" w:eastAsia="HGｺﾞｼｯｸM"/>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4E3" w:rsidRDefault="00AB44E3" w:rsidP="00D454C2">
      <w:r>
        <w:separator/>
      </w:r>
    </w:p>
  </w:footnote>
  <w:footnote w:type="continuationSeparator" w:id="0">
    <w:p w:rsidR="00AB44E3" w:rsidRDefault="00AB44E3"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E67" w:rsidRPr="00843F4A" w:rsidRDefault="009E6E6B">
    <w:pPr>
      <w:pStyle w:val="a5"/>
    </w:pPr>
    <w:r>
      <w:rPr>
        <w:rFonts w:ascii="HGｺﾞｼｯｸM" w:eastAsia="HGｺﾞｼｯｸM" w:hAnsi="ＭＳ ゴシック" w:hint="eastAsia"/>
        <w:sz w:val="16"/>
        <w:szCs w:val="16"/>
      </w:rPr>
      <w:t>第２編</w:t>
    </w:r>
    <w:r w:rsidRPr="007E2644">
      <w:rPr>
        <w:rFonts w:ascii="HGｺﾞｼｯｸM" w:eastAsia="HGｺﾞｼｯｸM" w:hAnsi="ＭＳ ゴシック" w:hint="eastAsia"/>
        <w:sz w:val="16"/>
        <w:szCs w:val="16"/>
      </w:rPr>
      <w:t>第</w:t>
    </w:r>
    <w:r>
      <w:rPr>
        <w:rFonts w:ascii="HGｺﾞｼｯｸM" w:eastAsia="HGｺﾞｼｯｸM" w:hAnsi="ＭＳ ゴシック" w:hint="eastAsia"/>
        <w:sz w:val="16"/>
        <w:szCs w:val="16"/>
      </w:rPr>
      <w:t>２</w:t>
    </w:r>
    <w:r w:rsidRPr="007E2644">
      <w:rPr>
        <w:rFonts w:ascii="HGｺﾞｼｯｸM" w:eastAsia="HGｺﾞｼｯｸM" w:hAnsi="ＭＳ ゴシック" w:hint="eastAsia"/>
        <w:sz w:val="16"/>
        <w:szCs w:val="16"/>
      </w:rPr>
      <w:t xml:space="preserve">章　　</w:t>
    </w:r>
    <w:r>
      <w:rPr>
        <w:rFonts w:ascii="HGｺﾞｼｯｸM" w:eastAsia="HGｺﾞｼｯｸM" w:hAnsi="ＭＳ ゴシック" w:hint="eastAsia"/>
        <w:sz w:val="16"/>
        <w:szCs w:val="16"/>
      </w:rPr>
      <w:t>上場会社の発生事実</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6B3" w:rsidRDefault="00B436B3" w:rsidP="00B436B3">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rsidR="00B436B3" w:rsidRPr="007E2644" w:rsidRDefault="00B436B3" w:rsidP="00B436B3">
    <w:pPr>
      <w:pStyle w:val="a5"/>
      <w:ind w:leftChars="74" w:left="148" w:right="84"/>
      <w:jc w:val="left"/>
      <w:rPr>
        <w:rFonts w:ascii="HGｺﾞｼｯｸM" w:eastAsia="HGｺﾞｼｯｸM"/>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rsidR="00B436B3" w:rsidRPr="00DC1A28" w:rsidRDefault="00B436B3" w:rsidP="00B436B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clean"/>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13580"/>
    <w:rsid w:val="000255DA"/>
    <w:rsid w:val="00042C87"/>
    <w:rsid w:val="00127F74"/>
    <w:rsid w:val="002A39E7"/>
    <w:rsid w:val="00534E82"/>
    <w:rsid w:val="006A1323"/>
    <w:rsid w:val="00705E7B"/>
    <w:rsid w:val="00744574"/>
    <w:rsid w:val="007B068D"/>
    <w:rsid w:val="009111D8"/>
    <w:rsid w:val="009E6E6B"/>
    <w:rsid w:val="00A63642"/>
    <w:rsid w:val="00AB44E3"/>
    <w:rsid w:val="00AF5CCF"/>
    <w:rsid w:val="00B436B3"/>
    <w:rsid w:val="00B4419B"/>
    <w:rsid w:val="00B71FCD"/>
    <w:rsid w:val="00C12838"/>
    <w:rsid w:val="00D321F7"/>
    <w:rsid w:val="00D454C2"/>
    <w:rsid w:val="00D4558C"/>
    <w:rsid w:val="00E2156A"/>
    <w:rsid w:val="00E30A1D"/>
    <w:rsid w:val="00EF006B"/>
    <w:rsid w:val="00F95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512B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705E7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705E7B"/>
    <w:rPr>
      <w:rFonts w:ascii="Arial" w:eastAsia="ＭＳ ゴシック" w:hAnsi="Arial" w:cs="Times New Roman"/>
      <w:sz w:val="24"/>
      <w:szCs w:val="24"/>
    </w:rPr>
  </w:style>
  <w:style w:type="character" w:styleId="ab">
    <w:name w:val="page number"/>
    <w:basedOn w:val="a0"/>
    <w:rsid w:val="009E6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2020-10-22T06:53:00Z</dcterms:modified>
</cp:coreProperties>
</file>