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07" w:rsidRPr="00635C4B" w:rsidRDefault="00723607" w:rsidP="00723607">
      <w:pPr>
        <w:ind w:firstLineChars="496" w:firstLine="945"/>
        <w:rPr>
          <w:b/>
        </w:rPr>
      </w:pPr>
      <w:r w:rsidRPr="00635C4B">
        <w:rPr>
          <w:rFonts w:hint="eastAsia"/>
          <w:b/>
        </w:rPr>
        <w:t>ａ．含み損が生じている有価証券の種類</w:t>
      </w:r>
      <w:bookmarkStart w:id="0" w:name="_GoBack"/>
      <w:bookmarkEnd w:id="0"/>
    </w:p>
    <w:p w:rsidR="00723607" w:rsidRPr="00635C4B" w:rsidRDefault="00723607" w:rsidP="00723607">
      <w:pPr>
        <w:ind w:firstLineChars="496" w:firstLine="945"/>
        <w:rPr>
          <w:b/>
        </w:rPr>
      </w:pPr>
      <w:r w:rsidRPr="00635C4B">
        <w:rPr>
          <w:rFonts w:hint="eastAsia"/>
          <w:b/>
        </w:rPr>
        <w:t>ｂ．有価証券の含み損の総額及び当該含み損に係る有価証券の帳簿価額</w:t>
      </w:r>
    </w:p>
    <w:p w:rsidR="00723607" w:rsidRPr="00635C4B" w:rsidRDefault="00723607" w:rsidP="00723607">
      <w:pPr>
        <w:ind w:leftChars="495" w:left="1130" w:hangingChars="100" w:hanging="191"/>
        <w:rPr>
          <w:b/>
        </w:rPr>
      </w:pPr>
      <w:r w:rsidRPr="00635C4B">
        <w:rPr>
          <w:rFonts w:hint="eastAsia"/>
          <w:b/>
        </w:rPr>
        <w:t>ｃ．直前連結会計年度の末日における直前連結会計年度の連結経常利益及び</w:t>
      </w:r>
      <w:r w:rsidRPr="009B5936">
        <w:rPr>
          <w:rFonts w:hint="eastAsia"/>
          <w:b/>
        </w:rPr>
        <w:t>親会社株主に帰属する当期純利益</w:t>
      </w:r>
      <w:r w:rsidRPr="00635C4B">
        <w:rPr>
          <w:rFonts w:hint="eastAsia"/>
          <w:b/>
        </w:rPr>
        <w:t>に対する有価証券の含み損の総額の割合等</w:t>
      </w:r>
    </w:p>
    <w:p w:rsidR="00723607" w:rsidRPr="00635C4B" w:rsidRDefault="00723607" w:rsidP="00723607">
      <w:pPr>
        <w:ind w:leftChars="495" w:left="1130" w:hangingChars="100" w:hanging="191"/>
      </w:pPr>
      <w:r w:rsidRPr="00635C4B">
        <w:rPr>
          <w:rFonts w:hint="eastAsia"/>
          <w:b/>
        </w:rPr>
        <w:t>ｄ．その他投資者が会社情報を適切に理解・判断するために必要な事項</w:t>
      </w:r>
    </w:p>
    <w:p w:rsidR="00723607" w:rsidRPr="00635C4B" w:rsidRDefault="00723607" w:rsidP="00723607">
      <w:pPr>
        <w:rPr>
          <w:rFonts w:hAnsi="ＭＳ 明朝" w:cs="Tahoma"/>
        </w:rPr>
      </w:pPr>
    </w:p>
    <w:p w:rsidR="00705E7B" w:rsidRPr="00723607" w:rsidRDefault="00705E7B" w:rsidP="00723607"/>
    <w:sectPr w:rsidR="00705E7B" w:rsidRPr="00723607" w:rsidSect="00007A5F">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C38" w:rsidRDefault="00C57C38" w:rsidP="00D454C2">
      <w:r>
        <w:separator/>
      </w:r>
    </w:p>
  </w:endnote>
  <w:endnote w:type="continuationSeparator" w:id="0">
    <w:p w:rsidR="00C57C38" w:rsidRDefault="00C57C38"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C38" w:rsidRDefault="00C57C38" w:rsidP="00D454C2">
      <w:r>
        <w:separator/>
      </w:r>
    </w:p>
  </w:footnote>
  <w:footnote w:type="continuationSeparator" w:id="0">
    <w:p w:rsidR="00C57C38" w:rsidRDefault="00C57C38"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A5F" w:rsidRDefault="00007A5F" w:rsidP="00007A5F">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007A5F" w:rsidRPr="007E2644" w:rsidRDefault="00007A5F" w:rsidP="00007A5F">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007A5F" w:rsidRPr="00DC1A28" w:rsidRDefault="00007A5F" w:rsidP="00007A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07A5F"/>
    <w:rsid w:val="00013580"/>
    <w:rsid w:val="00042C87"/>
    <w:rsid w:val="00127F74"/>
    <w:rsid w:val="00534E82"/>
    <w:rsid w:val="00705E7B"/>
    <w:rsid w:val="00723607"/>
    <w:rsid w:val="007B068D"/>
    <w:rsid w:val="007B2CCE"/>
    <w:rsid w:val="009111D8"/>
    <w:rsid w:val="00A63642"/>
    <w:rsid w:val="00AF5CCF"/>
    <w:rsid w:val="00B71FCD"/>
    <w:rsid w:val="00C12838"/>
    <w:rsid w:val="00C57C38"/>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2020-10-22T07:02:00Z</dcterms:modified>
</cp:coreProperties>
</file>