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88CC" w14:textId="53812BC9" w:rsidR="004A3194" w:rsidRPr="00752693" w:rsidRDefault="004A3194" w:rsidP="004A3194">
      <w:pPr>
        <w:pStyle w:val="1"/>
        <w:snapToGrid w:val="0"/>
        <w:ind w:left="191" w:hangingChars="100" w:hanging="191"/>
        <w:rPr>
          <w:rFonts w:ascii="Tahoma" w:hAnsi="Tahoma" w:cs="Tahoma"/>
          <w:b/>
          <w:bCs/>
          <w:sz w:val="20"/>
          <w:szCs w:val="20"/>
        </w:rPr>
      </w:pPr>
      <w:r w:rsidRPr="00752693">
        <w:rPr>
          <w:rFonts w:ascii="Tahoma" w:hAnsi="Tahoma" w:cs="Tahoma" w:hint="eastAsia"/>
          <w:b/>
          <w:bCs/>
          <w:sz w:val="20"/>
          <w:szCs w:val="20"/>
        </w:rPr>
        <w:t>特例②</w:t>
      </w:r>
      <w:r w:rsidRPr="00752693">
        <w:rPr>
          <w:rFonts w:ascii="Tahoma" w:hAnsi="Tahoma" w:cs="Tahoma"/>
          <w:b/>
          <w:bCs/>
          <w:sz w:val="20"/>
          <w:szCs w:val="20"/>
        </w:rPr>
        <w:t xml:space="preserve">　</w:t>
      </w:r>
      <w:r w:rsidRPr="00752693">
        <w:rPr>
          <w:rFonts w:ascii="Tahoma" w:hAnsi="Tahoma" w:cs="Tahoma" w:hint="eastAsia"/>
          <w:b/>
          <w:bCs/>
          <w:sz w:val="20"/>
          <w:szCs w:val="20"/>
        </w:rPr>
        <w:t>買収</w:t>
      </w:r>
      <w:r w:rsidR="009D4196">
        <w:rPr>
          <w:rFonts w:ascii="Tahoma" w:hAnsi="Tahoma" w:cs="Tahoma" w:hint="eastAsia"/>
          <w:b/>
          <w:bCs/>
          <w:sz w:val="20"/>
          <w:szCs w:val="20"/>
        </w:rPr>
        <w:t>への対応方針</w:t>
      </w:r>
      <w:r w:rsidR="009D4196" w:rsidRPr="00752693">
        <w:rPr>
          <w:rFonts w:ascii="Tahoma" w:hAnsi="Tahoma" w:cs="Tahoma" w:hint="eastAsia"/>
          <w:b/>
          <w:bCs/>
          <w:sz w:val="20"/>
          <w:szCs w:val="20"/>
        </w:rPr>
        <w:t>の導入・</w:t>
      </w:r>
      <w:r w:rsidR="009D4196">
        <w:rPr>
          <w:rFonts w:ascii="Tahoma" w:hAnsi="Tahoma" w:cs="Tahoma" w:hint="eastAsia"/>
          <w:b/>
          <w:bCs/>
          <w:sz w:val="20"/>
          <w:szCs w:val="20"/>
        </w:rPr>
        <w:t>買収への対抗措置の</w:t>
      </w:r>
      <w:r w:rsidRPr="00752693">
        <w:rPr>
          <w:rFonts w:ascii="Tahoma" w:hAnsi="Tahoma" w:cs="Tahoma" w:hint="eastAsia"/>
          <w:b/>
          <w:bCs/>
          <w:sz w:val="20"/>
          <w:szCs w:val="20"/>
        </w:rPr>
        <w:t>発動に伴う株式又は新株予約権を引き受ける者の募集の場合</w:t>
      </w:r>
    </w:p>
    <w:p w14:paraId="341BD260" w14:textId="22A18E47" w:rsidR="004A3194" w:rsidRPr="00AB7924" w:rsidRDefault="004A3194" w:rsidP="004A3194">
      <w:pPr>
        <w:ind w:leftChars="400" w:left="759" w:firstLineChars="98" w:firstLine="186"/>
        <w:rPr>
          <w:rFonts w:hAnsi="ＭＳ 明朝" w:cs="Tahoma"/>
        </w:rPr>
      </w:pPr>
      <w:bookmarkStart w:id="0" w:name="OLE_LINK4"/>
      <w:r w:rsidRPr="00AB7924">
        <w:rPr>
          <w:rFonts w:hAnsi="ＭＳ 明朝" w:cs="Tahoma"/>
        </w:rPr>
        <w:t>買収</w:t>
      </w:r>
      <w:r w:rsidR="009D4196">
        <w:rPr>
          <w:rFonts w:hAnsi="ＭＳ 明朝" w:cs="Tahoma" w:hint="eastAsia"/>
        </w:rPr>
        <w:t>への対応方針</w:t>
      </w:r>
      <w:r w:rsidR="009D4196" w:rsidRPr="00AB7924">
        <w:rPr>
          <w:rFonts w:hAnsi="ＭＳ 明朝" w:cs="Tahoma"/>
        </w:rPr>
        <w:t>の導入・</w:t>
      </w:r>
      <w:r w:rsidR="009D4196">
        <w:rPr>
          <w:rFonts w:hAnsi="ＭＳ 明朝" w:cs="Tahoma" w:hint="eastAsia"/>
        </w:rPr>
        <w:t>買収への対抗措置の</w:t>
      </w:r>
      <w:r w:rsidRPr="00AB7924">
        <w:rPr>
          <w:rFonts w:hAnsi="ＭＳ 明朝" w:cs="Tahoma"/>
        </w:rPr>
        <w:t>発動に伴う株式又は新株予約権を引き受ける者の募集を行うことについての決定をした場合は、通常の開示事項に加え、以下の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bookmarkEnd w:id="0"/>
    <w:p w14:paraId="2A6285AB" w14:textId="77777777" w:rsidR="004A3194" w:rsidRPr="00AB7924" w:rsidRDefault="004A3194" w:rsidP="004A3194">
      <w:pPr>
        <w:ind w:leftChars="400" w:left="759" w:firstLineChars="94" w:firstLine="178"/>
        <w:rPr>
          <w:rFonts w:hAnsi="ＭＳ 明朝" w:cs="Tahoma"/>
        </w:rPr>
      </w:pPr>
      <w:r w:rsidRPr="00AB7924">
        <w:rPr>
          <w:rFonts w:hAnsi="ＭＳ 明朝" w:cs="Tahoma" w:hint="eastAsia"/>
        </w:rPr>
        <w:t>なお、必ず東証まで</w:t>
      </w:r>
      <w:r w:rsidRPr="00AB7924">
        <w:rPr>
          <w:rFonts w:hAnsi="ＭＳ 明朝" w:cs="Tahoma"/>
        </w:rPr>
        <w:t>事前相談を行うようにしてください</w:t>
      </w:r>
      <w:r w:rsidRPr="00AB7924">
        <w:rPr>
          <w:rFonts w:hAnsi="ＭＳ 明朝" w:cs="Tahoma" w:hint="eastAsia"/>
        </w:rPr>
        <w:t>（時期等については、「（１）〔開示に関する注意事項〕②　事前相談について」参照）</w:t>
      </w:r>
      <w:r w:rsidRPr="00AB7924">
        <w:rPr>
          <w:rFonts w:hAnsi="ＭＳ 明朝" w:cs="Tahoma"/>
        </w:rPr>
        <w:t>。</w:t>
      </w:r>
    </w:p>
    <w:p w14:paraId="20AEADF7" w14:textId="77777777" w:rsidR="004A3194" w:rsidRPr="00AB7924" w:rsidRDefault="004A3194" w:rsidP="004A3194">
      <w:pPr>
        <w:ind w:firstLineChars="300" w:firstLine="569"/>
        <w:jc w:val="left"/>
        <w:rPr>
          <w:rFonts w:eastAsia="ＭＳ ゴシック" w:cs="Tahoma"/>
        </w:rPr>
      </w:pPr>
    </w:p>
    <w:p w14:paraId="6854A316" w14:textId="596F549E" w:rsidR="004A3194" w:rsidRPr="00AB7924" w:rsidRDefault="004A3194" w:rsidP="004A3194">
      <w:pPr>
        <w:ind w:firstLineChars="300" w:firstLine="569"/>
        <w:jc w:val="left"/>
        <w:rPr>
          <w:rFonts w:eastAsia="ＭＳ ゴシック" w:cs="Tahoma"/>
        </w:rPr>
      </w:pPr>
      <w:r w:rsidRPr="00AB7924">
        <w:rPr>
          <w:rFonts w:eastAsia="ＭＳ ゴシック" w:cs="Tahoma"/>
        </w:rPr>
        <w:t>（イ）買収</w:t>
      </w:r>
      <w:r w:rsidR="009D4196">
        <w:rPr>
          <w:rFonts w:eastAsia="ＭＳ ゴシック" w:cs="Tahoma" w:hint="eastAsia"/>
        </w:rPr>
        <w:t>への対応方針</w:t>
      </w:r>
      <w:r w:rsidRPr="00AB7924">
        <w:rPr>
          <w:rFonts w:eastAsia="ＭＳ ゴシック" w:cs="Tahoma"/>
        </w:rPr>
        <w:t>の導入に伴う場合</w:t>
      </w:r>
    </w:p>
    <w:p w14:paraId="12017257" w14:textId="01995BA3" w:rsidR="004A3194" w:rsidRPr="00AB7924" w:rsidRDefault="004A3194" w:rsidP="004A3194">
      <w:pPr>
        <w:ind w:firstLineChars="500" w:firstLine="953"/>
        <w:jc w:val="left"/>
        <w:rPr>
          <w:rFonts w:hAnsi="ＭＳ 明朝" w:cs="Tahoma"/>
          <w:b/>
        </w:rPr>
      </w:pPr>
      <w:r w:rsidRPr="00AB7924">
        <w:rPr>
          <w:rFonts w:hAnsi="ＭＳ 明朝" w:cs="Tahoma"/>
          <w:b/>
        </w:rPr>
        <w:t>ａ．買収</w:t>
      </w:r>
      <w:r w:rsidR="009D4196">
        <w:rPr>
          <w:rFonts w:hAnsi="ＭＳ 明朝" w:cs="Tahoma" w:hint="eastAsia"/>
          <w:b/>
        </w:rPr>
        <w:t>への対応方針</w:t>
      </w:r>
      <w:r w:rsidRPr="00AB7924">
        <w:rPr>
          <w:rFonts w:hAnsi="ＭＳ 明朝" w:cs="Tahoma"/>
          <w:b/>
        </w:rPr>
        <w:t>導入の目的</w:t>
      </w:r>
    </w:p>
    <w:p w14:paraId="5C8C23EF" w14:textId="77777777" w:rsidR="004A3194" w:rsidRPr="00AB7924" w:rsidRDefault="004A3194" w:rsidP="004A3194">
      <w:pPr>
        <w:ind w:firstLineChars="500" w:firstLine="953"/>
        <w:jc w:val="left"/>
        <w:rPr>
          <w:rFonts w:hAnsi="ＭＳ 明朝" w:cs="Tahoma"/>
          <w:b/>
        </w:rPr>
      </w:pPr>
      <w:r w:rsidRPr="00AB7924">
        <w:rPr>
          <w:rFonts w:hAnsi="ＭＳ 明朝" w:cs="Tahoma"/>
          <w:b/>
        </w:rPr>
        <w:t>ｂ．スキームの内容</w:t>
      </w:r>
    </w:p>
    <w:p w14:paraId="074B67BC" w14:textId="0729BC09" w:rsidR="004A3194" w:rsidRPr="00AB7924" w:rsidRDefault="004A3194" w:rsidP="004A3194">
      <w:pPr>
        <w:ind w:firstLineChars="500" w:firstLine="953"/>
        <w:jc w:val="left"/>
        <w:rPr>
          <w:rFonts w:hAnsi="ＭＳ 明朝" w:cs="Tahoma"/>
          <w:b/>
        </w:rPr>
      </w:pPr>
      <w:r w:rsidRPr="00AB7924">
        <w:rPr>
          <w:rFonts w:hAnsi="ＭＳ 明朝" w:cs="Tahoma"/>
          <w:b/>
        </w:rPr>
        <w:t>ｃ．買収</w:t>
      </w:r>
      <w:r w:rsidR="009D4196">
        <w:rPr>
          <w:rFonts w:hAnsi="ＭＳ 明朝" w:cs="Tahoma" w:hint="eastAsia"/>
          <w:b/>
        </w:rPr>
        <w:t>への対応方針</w:t>
      </w:r>
      <w:r w:rsidRPr="00AB7924">
        <w:rPr>
          <w:rFonts w:hAnsi="ＭＳ 明朝" w:cs="Tahoma"/>
          <w:b/>
        </w:rPr>
        <w:t>導入に係る手続・日程</w:t>
      </w:r>
    </w:p>
    <w:p w14:paraId="72D75DF4" w14:textId="77777777" w:rsidR="004A3194" w:rsidRPr="00AB7924" w:rsidRDefault="004A3194" w:rsidP="004A3194">
      <w:pPr>
        <w:ind w:firstLineChars="500" w:firstLine="953"/>
        <w:jc w:val="left"/>
        <w:rPr>
          <w:rFonts w:hAnsi="ＭＳ 明朝" w:cs="Tahoma"/>
          <w:b/>
        </w:rPr>
      </w:pPr>
      <w:r w:rsidRPr="00AB7924">
        <w:rPr>
          <w:rFonts w:hAnsi="ＭＳ 明朝" w:cs="Tahoma"/>
          <w:b/>
        </w:rPr>
        <w:t>ｄ．買収者出現時の手続</w:t>
      </w:r>
    </w:p>
    <w:p w14:paraId="4B3C3E7E" w14:textId="77777777" w:rsidR="004A3194" w:rsidRPr="00AB7924" w:rsidRDefault="004A3194" w:rsidP="004A3194">
      <w:pPr>
        <w:ind w:firstLineChars="500" w:firstLine="953"/>
        <w:jc w:val="left"/>
        <w:rPr>
          <w:rFonts w:hAnsi="ＭＳ 明朝" w:cs="Tahoma"/>
          <w:b/>
        </w:rPr>
      </w:pPr>
      <w:r w:rsidRPr="00AB7924">
        <w:rPr>
          <w:rFonts w:hAnsi="ＭＳ 明朝" w:cs="Tahoma"/>
          <w:b/>
        </w:rPr>
        <w:t>ｅ．株主・投資者に与える影響</w:t>
      </w:r>
    </w:p>
    <w:p w14:paraId="6136547E" w14:textId="77777777" w:rsidR="004A3194" w:rsidRPr="00AB7924" w:rsidRDefault="004A3194" w:rsidP="004A3194">
      <w:pPr>
        <w:ind w:firstLineChars="500" w:firstLine="953"/>
        <w:rPr>
          <w:rFonts w:hAnsi="ＭＳ 明朝" w:cs="Tahoma"/>
          <w:b/>
        </w:rPr>
      </w:pPr>
      <w:r w:rsidRPr="00AB7924">
        <w:rPr>
          <w:rFonts w:hAnsi="ＭＳ 明朝" w:cs="Tahoma"/>
          <w:b/>
        </w:rPr>
        <w:t>ｆ．その他投資者が会社情報を適切に理解・判断するために必要な事項</w:t>
      </w:r>
    </w:p>
    <w:p w14:paraId="7C54551D" w14:textId="77777777" w:rsidR="004A3194" w:rsidRPr="00AB7924" w:rsidRDefault="004A3194" w:rsidP="004A3194">
      <w:pPr>
        <w:snapToGrid w:val="0"/>
        <w:ind w:leftChars="399" w:left="847" w:hangingChars="100" w:hanging="90"/>
        <w:rPr>
          <w:rFonts w:hAnsi="ＭＳ 明朝" w:cs="Tahoma"/>
          <w:sz w:val="10"/>
          <w:szCs w:val="10"/>
        </w:rPr>
      </w:pPr>
    </w:p>
    <w:p w14:paraId="4A523697" w14:textId="554AE91A" w:rsidR="004A3194" w:rsidRPr="00AB7924" w:rsidRDefault="004A3194" w:rsidP="004A3194">
      <w:pPr>
        <w:ind w:leftChars="499" w:left="1137" w:hangingChars="100" w:hanging="190"/>
        <w:rPr>
          <w:rFonts w:hAnsi="ＭＳ 明朝" w:cs="Tahoma"/>
        </w:rPr>
      </w:pPr>
      <w:r w:rsidRPr="00AB7924">
        <w:rPr>
          <w:rFonts w:hAnsi="ＭＳ 明朝" w:cs="Tahoma"/>
        </w:rPr>
        <w:t>※　スキームの内容については、特に発動・廃止等の判断主体やその判断基準について詳細に記載するとともに、買収</w:t>
      </w:r>
      <w:r w:rsidR="009D4196">
        <w:rPr>
          <w:rFonts w:hAnsi="ＭＳ 明朝" w:cs="Tahoma" w:hint="eastAsia"/>
        </w:rPr>
        <w:t>への対応方針</w:t>
      </w:r>
      <w:r w:rsidRPr="00AB7924">
        <w:rPr>
          <w:rFonts w:hAnsi="ＭＳ 明朝" w:cs="Tahoma"/>
        </w:rPr>
        <w:t>の合理性を高めるための工夫（</w:t>
      </w:r>
      <w:r w:rsidRPr="00AB7924">
        <w:rPr>
          <w:rFonts w:hAnsi="ＭＳ 明朝" w:cs="Tahoma" w:hint="eastAsia"/>
        </w:rPr>
        <w:t>例えば</w:t>
      </w:r>
      <w:r w:rsidRPr="00AB7924">
        <w:rPr>
          <w:rFonts w:hAnsi="ＭＳ 明朝" w:cs="Tahoma"/>
        </w:rPr>
        <w:t>、導入に際しての</w:t>
      </w:r>
      <w:r>
        <w:rPr>
          <w:rFonts w:hAnsi="ＭＳ 明朝" w:cs="Tahoma" w:hint="eastAsia"/>
        </w:rPr>
        <w:t>株主</w:t>
      </w:r>
      <w:r w:rsidRPr="00AB7924">
        <w:rPr>
          <w:rFonts w:hAnsi="ＭＳ 明朝" w:cs="Tahoma"/>
        </w:rPr>
        <w:t>総会決議、全株式・全現金買収の場合には消却するといった客観的な廃止条件の設定、独立社外者の判断が重視される委員会の設置、第三者専門家の意見の取得、サンセット条項（定期的に買収</w:t>
      </w:r>
      <w:r w:rsidR="009D4196">
        <w:rPr>
          <w:rFonts w:hAnsi="ＭＳ 明朝" w:cs="Tahoma" w:hint="eastAsia"/>
        </w:rPr>
        <w:t>への対応方針</w:t>
      </w:r>
      <w:r w:rsidRPr="00AB7924">
        <w:rPr>
          <w:rFonts w:hAnsi="ＭＳ 明朝" w:cs="Tahoma"/>
        </w:rPr>
        <w:t>の内容や導入の是非を総会などで見直す条項）などの定期的な見直し条項、取締役の選解任要件及び任期等）についてわかりやすく具体的に記載することが必要となります。</w:t>
      </w:r>
    </w:p>
    <w:p w14:paraId="4F051ED7" w14:textId="77777777" w:rsidR="004A3194" w:rsidRPr="00AB7924" w:rsidRDefault="004A3194" w:rsidP="004A3194">
      <w:pPr>
        <w:rPr>
          <w:rFonts w:hAnsi="ＭＳ 明朝" w:cs="Tahoma"/>
        </w:rPr>
      </w:pPr>
    </w:p>
    <w:p w14:paraId="127CEBBC" w14:textId="153354E5" w:rsidR="004A3194" w:rsidRPr="00AB7924" w:rsidRDefault="004A3194" w:rsidP="004A3194">
      <w:pPr>
        <w:ind w:firstLineChars="300" w:firstLine="569"/>
        <w:jc w:val="left"/>
        <w:rPr>
          <w:rFonts w:eastAsia="ＭＳ ゴシック" w:cs="Tahoma"/>
        </w:rPr>
      </w:pPr>
      <w:r w:rsidRPr="00AB7924">
        <w:rPr>
          <w:rFonts w:eastAsia="ＭＳ ゴシック" w:cs="Tahoma"/>
        </w:rPr>
        <w:t>（ロ）買収</w:t>
      </w:r>
      <w:r w:rsidR="009D4196">
        <w:rPr>
          <w:rFonts w:eastAsia="ＭＳ ゴシック" w:cs="Tahoma" w:hint="eastAsia"/>
        </w:rPr>
        <w:t>への対抗措置</w:t>
      </w:r>
      <w:r w:rsidRPr="00AB7924">
        <w:rPr>
          <w:rFonts w:eastAsia="ＭＳ ゴシック" w:cs="Tahoma"/>
        </w:rPr>
        <w:t>の発動に伴う場合</w:t>
      </w:r>
    </w:p>
    <w:p w14:paraId="5D6C45AA" w14:textId="77777777" w:rsidR="004A3194" w:rsidRPr="00AB7924" w:rsidRDefault="004A3194" w:rsidP="004A3194">
      <w:pPr>
        <w:ind w:firstLineChars="500" w:firstLine="953"/>
        <w:jc w:val="left"/>
        <w:rPr>
          <w:rFonts w:hAnsi="ＭＳ 明朝" w:cs="Tahoma"/>
          <w:b/>
        </w:rPr>
      </w:pPr>
      <w:r w:rsidRPr="00AB7924">
        <w:rPr>
          <w:rFonts w:hAnsi="ＭＳ 明朝" w:cs="Tahoma"/>
          <w:b/>
        </w:rPr>
        <w:t>ａ．当該決定に至った経緯及び理由</w:t>
      </w:r>
    </w:p>
    <w:p w14:paraId="1DB977B5" w14:textId="77777777" w:rsidR="004A3194" w:rsidRPr="00AB7924" w:rsidRDefault="004A3194" w:rsidP="004A3194">
      <w:pPr>
        <w:ind w:firstLineChars="500" w:firstLine="953"/>
        <w:jc w:val="left"/>
        <w:rPr>
          <w:rFonts w:hAnsi="ＭＳ 明朝" w:cs="Tahoma"/>
          <w:b/>
        </w:rPr>
      </w:pPr>
      <w:r w:rsidRPr="00AB7924">
        <w:rPr>
          <w:rFonts w:hAnsi="ＭＳ 明朝" w:cs="Tahoma"/>
          <w:b/>
        </w:rPr>
        <w:t>ｂ．今後の手続・日程</w:t>
      </w:r>
    </w:p>
    <w:p w14:paraId="6F321246" w14:textId="77777777" w:rsidR="004A3194" w:rsidRPr="00AB7924" w:rsidRDefault="004A3194" w:rsidP="004A3194">
      <w:pPr>
        <w:ind w:firstLineChars="500" w:firstLine="953"/>
        <w:jc w:val="left"/>
        <w:rPr>
          <w:rFonts w:hAnsi="ＭＳ 明朝" w:cs="Tahoma"/>
          <w:b/>
        </w:rPr>
      </w:pPr>
      <w:r w:rsidRPr="00AB7924">
        <w:rPr>
          <w:rFonts w:hAnsi="ＭＳ 明朝" w:cs="Tahoma"/>
          <w:b/>
        </w:rPr>
        <w:t>ｃ．株主・投資者に与える影響</w:t>
      </w:r>
    </w:p>
    <w:p w14:paraId="6EF3F81F" w14:textId="77777777" w:rsidR="004A3194" w:rsidRPr="00AB7924" w:rsidRDefault="004A3194" w:rsidP="004A3194">
      <w:pPr>
        <w:ind w:firstLineChars="500" w:firstLine="953"/>
        <w:rPr>
          <w:rFonts w:hAnsi="ＭＳ 明朝" w:cs="Tahoma"/>
          <w:b/>
        </w:rPr>
      </w:pPr>
      <w:r w:rsidRPr="00AB7924">
        <w:rPr>
          <w:rFonts w:hAnsi="ＭＳ 明朝" w:cs="Tahoma"/>
          <w:b/>
        </w:rPr>
        <w:t>ｄ．その他投資者が会社情報を適切に理解・判断するために必要な事項</w:t>
      </w:r>
    </w:p>
    <w:p w14:paraId="20829E4C" w14:textId="77777777" w:rsidR="004A3194" w:rsidRPr="00AB7924" w:rsidRDefault="004A3194" w:rsidP="004A3194">
      <w:pPr>
        <w:jc w:val="left"/>
        <w:rPr>
          <w:rFonts w:hAnsi="ＭＳ 明朝" w:cs="Tahoma"/>
        </w:rPr>
      </w:pPr>
    </w:p>
    <w:p w14:paraId="4DFF85C7" w14:textId="2C451AA5" w:rsidR="004A3194" w:rsidRPr="00AB7924" w:rsidRDefault="004A3194" w:rsidP="009D4196">
      <w:pPr>
        <w:ind w:leftChars="300" w:left="810" w:hangingChars="127" w:hanging="241"/>
        <w:jc w:val="left"/>
        <w:rPr>
          <w:rFonts w:hAnsi="ＭＳ 明朝" w:cs="Tahoma"/>
        </w:rPr>
      </w:pPr>
      <w:r w:rsidRPr="00AB7924">
        <w:rPr>
          <w:rFonts w:hAnsi="ＭＳ 明朝" w:cs="Tahoma"/>
        </w:rPr>
        <w:t>※　上記（イ）</w:t>
      </w:r>
      <w:r w:rsidR="009D4196">
        <w:rPr>
          <w:rFonts w:hAnsi="ＭＳ 明朝" w:cs="Tahoma" w:hint="eastAsia"/>
        </w:rPr>
        <w:t>の開示に係る表題には「買収への対応方針」</w:t>
      </w:r>
      <w:r w:rsidRPr="00AB7924">
        <w:rPr>
          <w:rFonts w:hAnsi="ＭＳ 明朝" w:cs="Tahoma"/>
        </w:rPr>
        <w:t>、（ロ）の開示に係る表題には、「買収</w:t>
      </w:r>
      <w:r w:rsidR="009D4196">
        <w:rPr>
          <w:rFonts w:hAnsi="ＭＳ 明朝" w:cs="Tahoma" w:hint="eastAsia"/>
        </w:rPr>
        <w:t>への対抗措置</w:t>
      </w:r>
      <w:r w:rsidRPr="00AB7924">
        <w:rPr>
          <w:rFonts w:hAnsi="ＭＳ 明朝" w:cs="Tahoma"/>
        </w:rPr>
        <w:t>」という文字を必ず含め</w:t>
      </w:r>
      <w:r w:rsidRPr="00AB7924">
        <w:rPr>
          <w:rFonts w:hAnsi="ＭＳ 明朝" w:cs="Tahoma" w:hint="eastAsia"/>
        </w:rPr>
        <w:t>てください</w:t>
      </w:r>
      <w:r w:rsidRPr="00AB7924">
        <w:rPr>
          <w:rFonts w:hAnsi="ＭＳ 明朝" w:cs="Tahoma"/>
        </w:rPr>
        <w:t>。</w:t>
      </w:r>
    </w:p>
    <w:p w14:paraId="5EBBF7A9" w14:textId="77777777" w:rsidR="004A3194" w:rsidRPr="00AB7924" w:rsidRDefault="004A3194" w:rsidP="004A3194">
      <w:pPr>
        <w:ind w:leftChars="300" w:left="759" w:hangingChars="100" w:hanging="190"/>
        <w:rPr>
          <w:rFonts w:hAnsi="ＭＳ 明朝" w:cs="Tahoma"/>
        </w:rPr>
      </w:pPr>
      <w:r w:rsidRPr="00AB7924">
        <w:rPr>
          <w:rFonts w:hAnsi="ＭＳ 明朝" w:cs="Tahoma"/>
        </w:rPr>
        <w:t>※　導入の前例のないスキームを検討されている場合や遵守</w:t>
      </w:r>
      <w:r w:rsidRPr="00AB7924">
        <w:rPr>
          <w:rFonts w:hAnsi="ＭＳ 明朝" w:cs="Tahoma" w:hint="eastAsia"/>
        </w:rPr>
        <w:t>事項</w:t>
      </w:r>
      <w:r w:rsidRPr="00AB7924">
        <w:rPr>
          <w:rFonts w:hAnsi="ＭＳ 明朝" w:cs="Tahoma"/>
        </w:rPr>
        <w:t>などの関係で懸案事項がある場合などには、上記よりも十分な余裕をもって事前相談</w:t>
      </w:r>
      <w:r w:rsidRPr="00AB7924">
        <w:rPr>
          <w:rFonts w:hAnsi="ＭＳ 明朝" w:cs="Tahoma" w:hint="eastAsia"/>
        </w:rPr>
        <w:t>を行うようにして</w:t>
      </w:r>
      <w:r w:rsidRPr="00AB7924">
        <w:rPr>
          <w:rFonts w:hAnsi="ＭＳ 明朝" w:cs="Tahoma"/>
        </w:rPr>
        <w:t>ください。</w:t>
      </w:r>
    </w:p>
    <w:p w14:paraId="6C18FC76" w14:textId="2EE22FB4" w:rsidR="004A3194" w:rsidRPr="00AB7924" w:rsidRDefault="004A3194" w:rsidP="004A3194">
      <w:pPr>
        <w:ind w:leftChars="300" w:left="759" w:hangingChars="100" w:hanging="190"/>
        <w:rPr>
          <w:rFonts w:hAnsi="ＭＳ 明朝" w:cs="Tahoma"/>
        </w:rPr>
      </w:pPr>
      <w:r w:rsidRPr="00AB7924">
        <w:rPr>
          <w:rFonts w:hAnsi="ＭＳ 明朝" w:cs="Tahoma"/>
        </w:rPr>
        <w:t>※　買収</w:t>
      </w:r>
      <w:r w:rsidR="009D4196">
        <w:rPr>
          <w:rFonts w:hAnsi="ＭＳ 明朝" w:cs="Tahoma" w:hint="eastAsia"/>
        </w:rPr>
        <w:t>への対応方針の導入</w:t>
      </w:r>
      <w:r w:rsidRPr="00AB7924">
        <w:rPr>
          <w:rFonts w:hAnsi="ＭＳ 明朝" w:cs="Tahoma"/>
        </w:rPr>
        <w:t>に伴う株式無償</w:t>
      </w:r>
      <w:r w:rsidRPr="00AB7924">
        <w:rPr>
          <w:rFonts w:hAnsi="ＭＳ 明朝" w:cs="Tahoma" w:hint="eastAsia"/>
        </w:rPr>
        <w:t>割当て</w:t>
      </w:r>
      <w:r w:rsidRPr="00AB7924">
        <w:rPr>
          <w:rFonts w:hAnsi="ＭＳ 明朝" w:cs="Tahoma"/>
        </w:rPr>
        <w:t>又は新株予約権無償</w:t>
      </w:r>
      <w:r w:rsidRPr="00AB7924">
        <w:rPr>
          <w:rFonts w:hAnsi="ＭＳ 明朝" w:cs="Tahoma" w:hint="eastAsia"/>
        </w:rPr>
        <w:t>割当て</w:t>
      </w:r>
      <w:r w:rsidRPr="00AB7924">
        <w:rPr>
          <w:rFonts w:hAnsi="ＭＳ 明朝" w:cs="Tahoma"/>
        </w:rPr>
        <w:t>を行った</w:t>
      </w:r>
      <w:r w:rsidR="009D4196">
        <w:rPr>
          <w:rFonts w:hAnsi="ＭＳ 明朝" w:cs="Tahoma" w:hint="eastAsia"/>
        </w:rPr>
        <w:t>以後</w:t>
      </w:r>
      <w:r w:rsidRPr="00AB7924">
        <w:rPr>
          <w:rFonts w:hAnsi="ＭＳ 明朝" w:cs="Tahoma"/>
        </w:rPr>
        <w:t>、具体的に買収者が出現したとき、</w:t>
      </w:r>
      <w:r w:rsidR="009D4196">
        <w:rPr>
          <w:rFonts w:hAnsi="ＭＳ 明朝" w:cs="Tahoma" w:hint="eastAsia"/>
        </w:rPr>
        <w:t>当該方針に基づく買収への対抗措置</w:t>
      </w:r>
      <w:r w:rsidRPr="00AB7924">
        <w:rPr>
          <w:rFonts w:hAnsi="ＭＳ 明朝" w:cs="Tahoma"/>
        </w:rPr>
        <w:t>を発動したとき、又は</w:t>
      </w:r>
      <w:r w:rsidR="009D4196">
        <w:rPr>
          <w:rFonts w:hAnsi="ＭＳ 明朝" w:cs="Tahoma" w:hint="eastAsia"/>
        </w:rPr>
        <w:t>買収への対応方針や買収への対抗措置を</w:t>
      </w:r>
      <w:r w:rsidRPr="00AB7924">
        <w:rPr>
          <w:rFonts w:hAnsi="ＭＳ 明朝" w:cs="Tahoma"/>
        </w:rPr>
        <w:t>廃止したときにも、「開示事項の経過」として開示してください。また、買収防衛策の内容の変更を行った場合も、「開示事項の変更」として開示してください。</w:t>
      </w:r>
    </w:p>
    <w:p w14:paraId="159A348E" w14:textId="49E3A33D" w:rsidR="004A3194" w:rsidRPr="00AB7924" w:rsidRDefault="004A3194" w:rsidP="004A3194">
      <w:pPr>
        <w:ind w:leftChars="400" w:left="759" w:firstLineChars="100" w:firstLine="190"/>
        <w:rPr>
          <w:rFonts w:hAnsi="ＭＳ 明朝" w:cs="Tahoma"/>
        </w:rPr>
      </w:pPr>
      <w:r w:rsidRPr="00AB7924">
        <w:rPr>
          <w:rFonts w:hAnsi="ＭＳ 明朝" w:cs="Tahoma"/>
        </w:rPr>
        <w:t>具体的に買収者が出現した場合には、買収者に関する情報、買収提案に関する内容、会社の当該買収提案に対する考え方、今後の対応方針といった事項を、買収</w:t>
      </w:r>
      <w:r w:rsidR="009D4196">
        <w:rPr>
          <w:rFonts w:hAnsi="ＭＳ 明朝" w:cs="Tahoma" w:hint="eastAsia"/>
        </w:rPr>
        <w:t>への対抗措置</w:t>
      </w:r>
      <w:r w:rsidRPr="00AB7924">
        <w:rPr>
          <w:rFonts w:hAnsi="ＭＳ 明朝" w:cs="Tahoma"/>
        </w:rPr>
        <w:t>を発動又は廃止する場合には、当該決定に至った経緯及び理由、今後の手続・日程、株主・投資者に与える影響といった事項を、それぞれ記載することが必要となります。</w:t>
      </w:r>
    </w:p>
    <w:p w14:paraId="57DEDE76" w14:textId="4BECFA4D" w:rsidR="004A3194" w:rsidRPr="00AB7924" w:rsidRDefault="004A3194" w:rsidP="004A3194">
      <w:pPr>
        <w:ind w:leftChars="300" w:left="759" w:hangingChars="100" w:hanging="190"/>
        <w:rPr>
          <w:rFonts w:hAnsi="ＭＳ 明朝" w:cs="Tahoma"/>
        </w:rPr>
      </w:pPr>
      <w:r w:rsidRPr="00AB7924">
        <w:rPr>
          <w:rFonts w:hAnsi="ＭＳ 明朝" w:cs="Tahoma"/>
        </w:rPr>
        <w:t>※　詳細は、「</w:t>
      </w:r>
      <w:r w:rsidRPr="00AB7924">
        <w:rPr>
          <w:rFonts w:hAnsi="ＭＳ 明朝" w:cs="Tahoma" w:hint="eastAsia"/>
        </w:rPr>
        <w:t>【</w:t>
      </w:r>
      <w:r w:rsidRPr="00AB7924">
        <w:rPr>
          <w:rFonts w:hAnsi="ＭＳ 明朝" w:cs="Tahoma"/>
        </w:rPr>
        <w:t>買収</w:t>
      </w:r>
      <w:r w:rsidR="009D4196">
        <w:rPr>
          <w:rFonts w:hAnsi="ＭＳ 明朝" w:cs="Tahoma" w:hint="eastAsia"/>
        </w:rPr>
        <w:t>への対応方針</w:t>
      </w:r>
      <w:r w:rsidRPr="00AB7924">
        <w:rPr>
          <w:rFonts w:hAnsi="ＭＳ 明朝" w:cs="Tahoma"/>
        </w:rPr>
        <w:t>の導入等に係る上場制度の概要</w:t>
      </w:r>
      <w:r w:rsidRPr="00AB7924">
        <w:rPr>
          <w:rFonts w:hAnsi="ＭＳ 明朝" w:cs="Tahoma" w:hint="eastAsia"/>
        </w:rPr>
        <w:t>】</w:t>
      </w:r>
      <w:r w:rsidRPr="00AB7924">
        <w:rPr>
          <w:rFonts w:hAnsi="ＭＳ 明朝" w:cs="Tahoma"/>
        </w:rPr>
        <w:t>」をご参照ください。</w:t>
      </w:r>
    </w:p>
    <w:p w14:paraId="1C093B85" w14:textId="77777777" w:rsidR="00000000" w:rsidRPr="004A3194" w:rsidRDefault="00000000" w:rsidP="004A3194"/>
    <w:sectPr w:rsidR="008110A5" w:rsidRPr="004A3194" w:rsidSect="00DC1A28">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FC2F" w14:textId="77777777" w:rsidR="006E2111" w:rsidRDefault="006E2111" w:rsidP="00D454C2">
      <w:r>
        <w:separator/>
      </w:r>
    </w:p>
  </w:endnote>
  <w:endnote w:type="continuationSeparator" w:id="0">
    <w:p w14:paraId="25255172" w14:textId="77777777" w:rsidR="006E2111" w:rsidRDefault="006E211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4DD3" w14:textId="77777777" w:rsidR="006E2111" w:rsidRDefault="006E2111" w:rsidP="00D454C2">
      <w:r>
        <w:separator/>
      </w:r>
    </w:p>
  </w:footnote>
  <w:footnote w:type="continuationSeparator" w:id="0">
    <w:p w14:paraId="62DA1AA0" w14:textId="77777777" w:rsidR="006E2111" w:rsidRDefault="006E2111"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3081" w14:textId="77777777" w:rsidR="00DC1A28" w:rsidRDefault="00DC1A28" w:rsidP="00DC1A28">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618775DD" w14:textId="77777777" w:rsidR="00DC1A28" w:rsidRPr="007E2644" w:rsidRDefault="00DC1A28" w:rsidP="00DC1A28">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24C1978C" w14:textId="77777777" w:rsidR="00DC1A28" w:rsidRPr="00DC1A28" w:rsidRDefault="00DC1A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403891"/>
    <w:rsid w:val="004A3194"/>
    <w:rsid w:val="00534E82"/>
    <w:rsid w:val="006755EA"/>
    <w:rsid w:val="006E2111"/>
    <w:rsid w:val="007B068D"/>
    <w:rsid w:val="009111D8"/>
    <w:rsid w:val="009C2144"/>
    <w:rsid w:val="009D4196"/>
    <w:rsid w:val="00A63642"/>
    <w:rsid w:val="00AF5CCF"/>
    <w:rsid w:val="00B71FCD"/>
    <w:rsid w:val="00C4485E"/>
    <w:rsid w:val="00D321F7"/>
    <w:rsid w:val="00D454C2"/>
    <w:rsid w:val="00D4558C"/>
    <w:rsid w:val="00DC1A28"/>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9A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2020-03-23T00:19:00Z</dcterms:created>
  <dcterms:modified xsi:type="dcterms:W3CDTF">2024-03-29T09:35:00Z</dcterms:modified>
</cp:coreProperties>
</file>