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93E" w:rsidRPr="008C7ED4" w:rsidRDefault="0075593E" w:rsidP="0075593E">
      <w:pPr>
        <w:ind w:firstLineChars="496" w:firstLine="945"/>
        <w:rPr>
          <w:rFonts w:hAnsi="ＭＳ 明朝" w:cs="Tahoma"/>
          <w:b/>
        </w:rPr>
      </w:pPr>
      <w:r w:rsidRPr="008C7ED4">
        <w:rPr>
          <w:rFonts w:hAnsi="ＭＳ 明朝" w:cs="Tahoma"/>
          <w:b/>
        </w:rPr>
        <w:t>ａ．基準日</w:t>
      </w:r>
      <w:bookmarkStart w:id="0" w:name="_GoBack"/>
      <w:bookmarkEnd w:id="0"/>
    </w:p>
    <w:p w:rsidR="0075593E" w:rsidRPr="008C7ED4" w:rsidRDefault="0075593E" w:rsidP="0075593E">
      <w:pPr>
        <w:ind w:firstLineChars="496" w:firstLine="945"/>
        <w:rPr>
          <w:rFonts w:hAnsi="ＭＳ 明朝" w:cs="Tahoma"/>
          <w:b/>
        </w:rPr>
      </w:pPr>
      <w:r w:rsidRPr="008C7ED4">
        <w:rPr>
          <w:rFonts w:hAnsi="ＭＳ 明朝" w:cs="Tahoma"/>
          <w:b/>
        </w:rPr>
        <w:t>ｂ．１株当たり配当金額</w:t>
      </w:r>
    </w:p>
    <w:p w:rsidR="0075593E" w:rsidRPr="008C7ED4" w:rsidRDefault="0075593E" w:rsidP="0075593E">
      <w:pPr>
        <w:ind w:firstLineChars="496" w:firstLine="945"/>
        <w:rPr>
          <w:rFonts w:hAnsi="ＭＳ 明朝" w:cs="Tahoma"/>
          <w:b/>
        </w:rPr>
      </w:pPr>
      <w:r w:rsidRPr="008C7ED4">
        <w:rPr>
          <w:rFonts w:hAnsi="ＭＳ 明朝" w:cs="Tahoma"/>
          <w:b/>
        </w:rPr>
        <w:t>ｃ．配当金の総額</w:t>
      </w:r>
    </w:p>
    <w:p w:rsidR="0075593E" w:rsidRPr="008C7ED4" w:rsidRDefault="0075593E" w:rsidP="0075593E">
      <w:pPr>
        <w:ind w:firstLineChars="793" w:firstLine="1505"/>
        <w:rPr>
          <w:rFonts w:hAnsi="ＭＳ 明朝" w:cs="Tahoma"/>
        </w:rPr>
      </w:pPr>
      <w:r w:rsidRPr="008C7ED4">
        <w:rPr>
          <w:rFonts w:hAnsi="ＭＳ 明朝" w:cs="Tahoma"/>
        </w:rPr>
        <w:t>・　会社法第４５４条第１項第１号に定める事項を記載する。</w:t>
      </w:r>
    </w:p>
    <w:p w:rsidR="0075593E" w:rsidRPr="008C7ED4" w:rsidRDefault="0075593E" w:rsidP="0075593E">
      <w:pPr>
        <w:ind w:firstLineChars="496" w:firstLine="945"/>
        <w:rPr>
          <w:rFonts w:hAnsi="ＭＳ 明朝" w:cs="Tahoma"/>
          <w:b/>
        </w:rPr>
      </w:pPr>
      <w:r w:rsidRPr="008C7ED4">
        <w:rPr>
          <w:rFonts w:hAnsi="ＭＳ 明朝" w:cs="Tahoma"/>
          <w:b/>
        </w:rPr>
        <w:t>ｄ．効力発生日</w:t>
      </w:r>
    </w:p>
    <w:p w:rsidR="0075593E" w:rsidRPr="008C7ED4" w:rsidRDefault="0075593E" w:rsidP="0075593E">
      <w:pPr>
        <w:ind w:firstLineChars="793" w:firstLine="1505"/>
        <w:rPr>
          <w:rFonts w:hAnsi="ＭＳ 明朝" w:cs="Tahoma"/>
        </w:rPr>
      </w:pPr>
      <w:r w:rsidRPr="008C7ED4">
        <w:rPr>
          <w:rFonts w:hAnsi="ＭＳ 明朝" w:cs="Tahoma"/>
        </w:rPr>
        <w:t>・　会社法第４５４条第１項第３号に定める事項を記載する。</w:t>
      </w:r>
    </w:p>
    <w:p w:rsidR="0075593E" w:rsidRPr="008C7ED4" w:rsidRDefault="0075593E" w:rsidP="0075593E">
      <w:pPr>
        <w:ind w:firstLineChars="496" w:firstLine="945"/>
        <w:rPr>
          <w:rFonts w:hAnsi="ＭＳ 明朝" w:cs="Tahoma"/>
          <w:b/>
        </w:rPr>
      </w:pPr>
      <w:r w:rsidRPr="008C7ED4">
        <w:rPr>
          <w:rFonts w:hAnsi="ＭＳ 明朝" w:cs="Tahoma"/>
          <w:b/>
        </w:rPr>
        <w:t>ｅ．その他</w:t>
      </w:r>
    </w:p>
    <w:p w:rsidR="0075593E" w:rsidRPr="008C7ED4" w:rsidRDefault="0075593E" w:rsidP="0075593E">
      <w:pPr>
        <w:ind w:leftChars="602" w:left="1523" w:hangingChars="200" w:hanging="381"/>
        <w:rPr>
          <w:rFonts w:hAnsi="ＭＳ 明朝" w:cs="Tahoma"/>
          <w:b/>
        </w:rPr>
      </w:pPr>
      <w:r w:rsidRPr="008C7ED4">
        <w:rPr>
          <w:rFonts w:hAnsi="ＭＳ 明朝" w:cs="Tahoma"/>
          <w:b/>
        </w:rPr>
        <w:t>（ａ）配当原資（利益剰余金又は資本剰余金の別）が資本剰余金である場合には、その旨及び純資産減少割合（所得税法施行令第６１条第２項第３号に規定する割合）</w:t>
      </w:r>
    </w:p>
    <w:p w:rsidR="0075593E" w:rsidRPr="008C7ED4" w:rsidRDefault="0075593E" w:rsidP="0075593E">
      <w:pPr>
        <w:ind w:leftChars="602" w:left="1523" w:hangingChars="200" w:hanging="381"/>
        <w:rPr>
          <w:rFonts w:hAnsi="ＭＳ 明朝" w:cs="Tahoma"/>
          <w:b/>
        </w:rPr>
      </w:pPr>
      <w:r w:rsidRPr="008C7ED4">
        <w:rPr>
          <w:rFonts w:hAnsi="ＭＳ 明朝" w:cs="Tahoma"/>
          <w:b/>
        </w:rPr>
        <w:t>（ｂ）配当の額を変更した場合（復配となる場合、無配となる場合を含む。）又は配当回数を変更した場合は、その理由</w:t>
      </w:r>
    </w:p>
    <w:p w:rsidR="0075593E" w:rsidRPr="008C7ED4" w:rsidRDefault="0075593E" w:rsidP="0075593E">
      <w:pPr>
        <w:ind w:firstLineChars="594" w:firstLine="1132"/>
        <w:rPr>
          <w:rFonts w:hAnsi="ＭＳ 明朝" w:cs="Tahoma"/>
          <w:b/>
        </w:rPr>
      </w:pPr>
      <w:r w:rsidRPr="008C7ED4">
        <w:rPr>
          <w:rFonts w:hAnsi="ＭＳ 明朝" w:cs="Tahoma"/>
          <w:b/>
        </w:rPr>
        <w:t>（ｃ）臨時決算を行った場合には、その旨、臨時決算日及び臨時計算書類の概要</w:t>
      </w:r>
    </w:p>
    <w:p w:rsidR="0075593E" w:rsidRPr="008C7ED4" w:rsidRDefault="0075593E" w:rsidP="0075593E">
      <w:pPr>
        <w:ind w:firstLineChars="496" w:firstLine="945"/>
        <w:rPr>
          <w:rFonts w:hAnsi="ＭＳ 明朝" w:cs="Tahoma"/>
          <w:b/>
        </w:rPr>
      </w:pPr>
      <w:r w:rsidRPr="008C7ED4">
        <w:rPr>
          <w:rFonts w:hAnsi="ＭＳ 明朝" w:cs="Tahoma"/>
          <w:b/>
        </w:rPr>
        <w:t>ｆ．その他投資者が会社情報を適切に理解・判断するために必要な事項</w:t>
      </w:r>
    </w:p>
    <w:p w:rsidR="0075593E" w:rsidRPr="008C7ED4" w:rsidRDefault="0075593E" w:rsidP="0075593E">
      <w:pPr>
        <w:rPr>
          <w:rFonts w:hAnsi="ＭＳ 明朝" w:cs="Tahoma"/>
        </w:rPr>
      </w:pPr>
    </w:p>
    <w:p w:rsidR="0075593E" w:rsidRPr="008C7ED4" w:rsidRDefault="0075593E" w:rsidP="0075593E">
      <w:pPr>
        <w:ind w:firstLineChars="399" w:firstLine="757"/>
        <w:rPr>
          <w:rFonts w:hAnsi="ＭＳ 明朝" w:cs="Tahoma"/>
        </w:rPr>
      </w:pPr>
      <w:r w:rsidRPr="008C7ED4">
        <w:rPr>
          <w:rFonts w:hAnsi="ＭＳ 明朝" w:cs="Tahoma"/>
        </w:rPr>
        <w:t>※　上記開示事項は、株式の種類の別がある場合には、株式の種類ごとにそれぞれ記載する。</w:t>
      </w:r>
    </w:p>
    <w:p w:rsidR="0075593E" w:rsidRPr="008C7ED4" w:rsidRDefault="0075593E" w:rsidP="0075593E">
      <w:pPr>
        <w:ind w:leftChars="414" w:left="976" w:hangingChars="100" w:hanging="190"/>
        <w:rPr>
          <w:rFonts w:hAnsi="ＭＳ 明朝" w:cs="Tahoma"/>
        </w:rPr>
      </w:pPr>
      <w:r w:rsidRPr="008C7ED4">
        <w:rPr>
          <w:rFonts w:hAnsi="ＭＳ 明朝" w:cs="Tahoma"/>
        </w:rPr>
        <w:t>※　現物配当を行う場合には、次に掲げる事項が原則的な開示事項となりますが、実際の開示にあたっては、あらかじめ東証まで相談してください。</w:t>
      </w:r>
    </w:p>
    <w:p w:rsidR="0075593E" w:rsidRPr="008C7ED4" w:rsidRDefault="0075593E" w:rsidP="0075593E">
      <w:pPr>
        <w:ind w:firstLineChars="597" w:firstLine="1133"/>
        <w:rPr>
          <w:rFonts w:hAnsi="ＭＳ 明朝" w:cs="Tahoma"/>
        </w:rPr>
      </w:pPr>
      <w:r w:rsidRPr="008C7ED4">
        <w:rPr>
          <w:rFonts w:hAnsi="ＭＳ 明朝" w:cs="Tahoma"/>
        </w:rPr>
        <w:t>（ａ）基準日</w:t>
      </w:r>
    </w:p>
    <w:p w:rsidR="0075593E" w:rsidRPr="008C7ED4" w:rsidRDefault="0075593E" w:rsidP="0075593E">
      <w:pPr>
        <w:ind w:firstLineChars="597" w:firstLine="1133"/>
        <w:rPr>
          <w:rFonts w:hAnsi="ＭＳ 明朝" w:cs="Tahoma"/>
        </w:rPr>
      </w:pPr>
      <w:r w:rsidRPr="008C7ED4">
        <w:rPr>
          <w:rFonts w:hAnsi="ＭＳ 明朝" w:cs="Tahoma"/>
        </w:rPr>
        <w:t>（ｂ）配当財産の種類</w:t>
      </w:r>
    </w:p>
    <w:p w:rsidR="0075593E" w:rsidRPr="008C7ED4" w:rsidRDefault="0075593E" w:rsidP="0075593E">
      <w:pPr>
        <w:ind w:firstLineChars="597" w:firstLine="1133"/>
        <w:rPr>
          <w:rFonts w:hAnsi="ＭＳ 明朝" w:cs="Tahoma"/>
        </w:rPr>
      </w:pPr>
      <w:r w:rsidRPr="008C7ED4">
        <w:rPr>
          <w:rFonts w:hAnsi="ＭＳ 明朝" w:cs="Tahoma"/>
        </w:rPr>
        <w:t>（ｃ）配当財産の帳簿価額の総額及び１株当たり価額</w:t>
      </w:r>
    </w:p>
    <w:p w:rsidR="0075593E" w:rsidRPr="008C7ED4" w:rsidRDefault="0075593E" w:rsidP="0075593E">
      <w:pPr>
        <w:ind w:firstLineChars="992" w:firstLine="1882"/>
        <w:rPr>
          <w:rFonts w:hAnsi="ＭＳ 明朝" w:cs="Tahoma"/>
        </w:rPr>
      </w:pPr>
      <w:r w:rsidRPr="008C7ED4">
        <w:rPr>
          <w:rFonts w:hAnsi="ＭＳ 明朝" w:cs="Tahoma"/>
        </w:rPr>
        <w:t>・　会社法第４５４条第１項第１号に定める事項を記載する。</w:t>
      </w:r>
    </w:p>
    <w:p w:rsidR="0075593E" w:rsidRPr="008C7ED4" w:rsidRDefault="0075593E" w:rsidP="0075593E">
      <w:pPr>
        <w:ind w:leftChars="970" w:left="1981" w:hangingChars="74" w:hanging="140"/>
        <w:rPr>
          <w:rFonts w:hAnsi="ＭＳ 明朝" w:cs="Tahoma"/>
        </w:rPr>
      </w:pPr>
      <w:r w:rsidRPr="008C7ED4">
        <w:rPr>
          <w:rFonts w:hAnsi="ＭＳ 明朝" w:cs="Tahoma"/>
        </w:rPr>
        <w:t xml:space="preserve">※　</w:t>
      </w:r>
      <w:r>
        <w:rPr>
          <w:rFonts w:hAnsi="ＭＳ 明朝" w:cs="Tahoma" w:hint="eastAsia"/>
        </w:rPr>
        <w:t>株主に対して金銭分配請求権を付与する場合には、配当財産に代えて支払うこととした金額は含めない</w:t>
      </w:r>
      <w:r w:rsidRPr="008C7ED4">
        <w:rPr>
          <w:rFonts w:hAnsi="ＭＳ 明朝" w:cs="Tahoma"/>
        </w:rPr>
        <w:t>。</w:t>
      </w:r>
    </w:p>
    <w:p w:rsidR="0075593E" w:rsidRPr="008C7ED4" w:rsidRDefault="0075593E" w:rsidP="0075593E">
      <w:pPr>
        <w:ind w:firstLineChars="597" w:firstLine="1133"/>
        <w:rPr>
          <w:rFonts w:hAnsi="ＭＳ 明朝" w:cs="Tahoma"/>
        </w:rPr>
      </w:pPr>
      <w:r w:rsidRPr="008C7ED4">
        <w:rPr>
          <w:rFonts w:hAnsi="ＭＳ 明朝" w:cs="Tahoma"/>
        </w:rPr>
        <w:t>（ｄ）配当財産の時価の総額及び１株当たり価額</w:t>
      </w:r>
    </w:p>
    <w:p w:rsidR="0075593E" w:rsidRPr="008C7ED4" w:rsidRDefault="0075593E" w:rsidP="0075593E">
      <w:pPr>
        <w:ind w:leftChars="970" w:left="1981" w:hangingChars="74" w:hanging="140"/>
        <w:rPr>
          <w:rFonts w:hAnsi="ＭＳ 明朝" w:cs="Tahoma"/>
        </w:rPr>
      </w:pPr>
      <w:r w:rsidRPr="008C7ED4">
        <w:rPr>
          <w:rFonts w:hAnsi="ＭＳ 明朝" w:cs="Tahoma"/>
        </w:rPr>
        <w:t xml:space="preserve">※　</w:t>
      </w:r>
      <w:r>
        <w:rPr>
          <w:rFonts w:hAnsi="ＭＳ 明朝" w:cs="Tahoma" w:hint="eastAsia"/>
        </w:rPr>
        <w:t>株主に対して金銭分配請求権を付与する場合には、配当財産に代えて支払うこととした金額は含めない</w:t>
      </w:r>
      <w:r w:rsidRPr="008C7ED4">
        <w:rPr>
          <w:rFonts w:hAnsi="ＭＳ 明朝" w:cs="Tahoma"/>
        </w:rPr>
        <w:t>。</w:t>
      </w:r>
    </w:p>
    <w:p w:rsidR="0075593E" w:rsidRPr="008C7ED4" w:rsidRDefault="0075593E" w:rsidP="0075593E">
      <w:pPr>
        <w:ind w:firstLineChars="597" w:firstLine="1133"/>
        <w:rPr>
          <w:rFonts w:hAnsi="ＭＳ 明朝" w:cs="Tahoma"/>
        </w:rPr>
      </w:pPr>
      <w:r w:rsidRPr="008C7ED4">
        <w:rPr>
          <w:rFonts w:hAnsi="ＭＳ 明朝" w:cs="Tahoma"/>
        </w:rPr>
        <w:t>（ｅ）効力発生日</w:t>
      </w:r>
    </w:p>
    <w:p w:rsidR="0075593E" w:rsidRPr="008C7ED4" w:rsidRDefault="0075593E" w:rsidP="0075593E">
      <w:pPr>
        <w:ind w:firstLineChars="992" w:firstLine="1882"/>
        <w:rPr>
          <w:rFonts w:hAnsi="ＭＳ 明朝" w:cs="Tahoma"/>
        </w:rPr>
      </w:pPr>
      <w:r w:rsidRPr="008C7ED4">
        <w:rPr>
          <w:rFonts w:hAnsi="ＭＳ 明朝" w:cs="Tahoma"/>
        </w:rPr>
        <w:t>・　会社法第４５４条第１項第３号に定める事項を記載する。</w:t>
      </w:r>
    </w:p>
    <w:p w:rsidR="0075593E" w:rsidRPr="008C7ED4" w:rsidRDefault="0075593E" w:rsidP="0075593E">
      <w:pPr>
        <w:ind w:firstLineChars="597" w:firstLine="1133"/>
        <w:rPr>
          <w:rFonts w:hAnsi="ＭＳ 明朝" w:cs="Tahoma"/>
        </w:rPr>
      </w:pPr>
      <w:r w:rsidRPr="008C7ED4">
        <w:rPr>
          <w:rFonts w:hAnsi="ＭＳ 明朝" w:cs="Tahoma"/>
        </w:rPr>
        <w:t>（ｆ）その他</w:t>
      </w:r>
    </w:p>
    <w:p w:rsidR="0075593E" w:rsidRDefault="0075593E" w:rsidP="0075593E">
      <w:pPr>
        <w:ind w:leftChars="978" w:left="2046" w:hangingChars="100" w:hanging="190"/>
        <w:rPr>
          <w:rFonts w:hAnsi="ＭＳ 明朝" w:cs="Tahoma"/>
        </w:rPr>
      </w:pPr>
      <w:r w:rsidRPr="008C7ED4">
        <w:rPr>
          <w:rFonts w:hAnsi="ＭＳ 明朝" w:cs="Tahoma" w:hint="eastAsia"/>
        </w:rPr>
        <w:t xml:space="preserve">・　</w:t>
      </w:r>
      <w:r w:rsidRPr="008C7ED4">
        <w:rPr>
          <w:rFonts w:hAnsi="ＭＳ 明朝" w:cs="Tahoma"/>
        </w:rPr>
        <w:t>配当原資（利益剰余金又は資本剰余金の別）が資本剰余金である場合には、その旨及び純資産減少割合（所得税法施行令第６１条第２項第３号に規定する割合）</w:t>
      </w:r>
    </w:p>
    <w:p w:rsidR="0075593E" w:rsidRDefault="0075593E" w:rsidP="0075593E">
      <w:pPr>
        <w:ind w:leftChars="978" w:left="2046" w:hangingChars="100" w:hanging="190"/>
        <w:rPr>
          <w:rFonts w:hAnsi="ＭＳ 明朝" w:cs="Tahoma"/>
        </w:rPr>
      </w:pPr>
    </w:p>
    <w:p w:rsidR="0075593E" w:rsidRPr="008C7ED4" w:rsidRDefault="0075593E" w:rsidP="0075593E">
      <w:pPr>
        <w:ind w:leftChars="978" w:left="2046" w:hangingChars="100" w:hanging="190"/>
        <w:rPr>
          <w:rFonts w:hAnsi="ＭＳ 明朝" w:cs="Tahoma"/>
        </w:rPr>
      </w:pPr>
      <w:r w:rsidRPr="008C7ED4">
        <w:rPr>
          <w:rFonts w:hAnsi="ＭＳ 明朝" w:cs="Tahoma" w:hint="eastAsia"/>
        </w:rPr>
        <w:t xml:space="preserve">・　</w:t>
      </w:r>
      <w:r w:rsidRPr="008C7ED4">
        <w:rPr>
          <w:rFonts w:hAnsi="ＭＳ 明朝" w:cs="Tahoma"/>
        </w:rPr>
        <w:t>株主に対して金銭分配請求権を付与する場合には、その旨、金銭分配請求権を行使できる期間、配当財産に代えて支払うこととした１株当たりの金額及びその総額</w:t>
      </w:r>
    </w:p>
    <w:p w:rsidR="0075593E" w:rsidRPr="008C7ED4" w:rsidRDefault="0075593E" w:rsidP="0075593E">
      <w:pPr>
        <w:ind w:leftChars="978" w:left="2046" w:hangingChars="100" w:hanging="190"/>
        <w:rPr>
          <w:rFonts w:hAnsi="ＭＳ 明朝" w:cs="Tahoma"/>
        </w:rPr>
      </w:pPr>
      <w:r w:rsidRPr="008C7ED4">
        <w:rPr>
          <w:rFonts w:hAnsi="ＭＳ 明朝" w:cs="Tahoma" w:hint="eastAsia"/>
        </w:rPr>
        <w:t xml:space="preserve">・　</w:t>
      </w:r>
      <w:r w:rsidRPr="008C7ED4">
        <w:rPr>
          <w:rFonts w:hAnsi="ＭＳ 明朝" w:cs="Tahoma"/>
        </w:rPr>
        <w:t>一定の数未満の株式を有する株主に対して配当財産の割当てをしないこととする場合は、その旨及びその数</w:t>
      </w:r>
    </w:p>
    <w:p w:rsidR="0075593E" w:rsidRPr="008C7ED4" w:rsidRDefault="0075593E" w:rsidP="0075593E">
      <w:pPr>
        <w:ind w:leftChars="978" w:left="2046" w:hangingChars="100" w:hanging="190"/>
        <w:rPr>
          <w:rFonts w:hAnsi="ＭＳ 明朝" w:cs="Tahoma"/>
        </w:rPr>
      </w:pPr>
      <w:r w:rsidRPr="008C7ED4">
        <w:rPr>
          <w:rFonts w:hAnsi="ＭＳ 明朝" w:cs="Tahoma" w:hint="eastAsia"/>
        </w:rPr>
        <w:t xml:space="preserve">・　</w:t>
      </w:r>
      <w:r w:rsidRPr="008C7ED4">
        <w:rPr>
          <w:rFonts w:hAnsi="ＭＳ 明朝" w:cs="Tahoma"/>
        </w:rPr>
        <w:t>臨時決算を行った場合には、その旨、臨時決算日及び臨時計算書類の概要</w:t>
      </w:r>
    </w:p>
    <w:p w:rsidR="008110A5" w:rsidRPr="0075593E" w:rsidRDefault="004265DF" w:rsidP="0075593E"/>
    <w:sectPr w:rsidR="008110A5" w:rsidRPr="0075593E" w:rsidSect="00F83E42">
      <w:headerReference w:type="default" r:id="rId7"/>
      <w:pgSz w:w="11906" w:h="16838" w:code="9"/>
      <w:pgMar w:top="1134" w:right="1304" w:bottom="851" w:left="1304" w:header="283" w:footer="992" w:gutter="0"/>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65DF" w:rsidRDefault="004265DF" w:rsidP="00D454C2">
      <w:r>
        <w:separator/>
      </w:r>
    </w:p>
  </w:endnote>
  <w:endnote w:type="continuationSeparator" w:id="0">
    <w:p w:rsidR="004265DF" w:rsidRDefault="004265DF" w:rsidP="00D4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65DF" w:rsidRDefault="004265DF" w:rsidP="00D454C2">
      <w:r>
        <w:separator/>
      </w:r>
    </w:p>
  </w:footnote>
  <w:footnote w:type="continuationSeparator" w:id="0">
    <w:p w:rsidR="004265DF" w:rsidRDefault="004265DF" w:rsidP="00D45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E42" w:rsidRDefault="00F83E42" w:rsidP="00F83E42">
    <w:pPr>
      <w:pStyle w:val="a5"/>
      <w:ind w:right="84"/>
      <w:jc w:val="left"/>
      <w:rPr>
        <w:rFonts w:ascii="HGｺﾞｼｯｸM" w:eastAsia="HGｺﾞｼｯｸM"/>
        <w:sz w:val="16"/>
        <w:szCs w:val="16"/>
      </w:rPr>
    </w:pPr>
    <w:r>
      <w:rPr>
        <w:rFonts w:ascii="HGｺﾞｼｯｸM" w:eastAsia="HGｺﾞｼｯｸM" w:hint="eastAsia"/>
        <w:sz w:val="16"/>
        <w:szCs w:val="16"/>
      </w:rPr>
      <w:t>開示事項及び開示・記載上の注意</w:t>
    </w:r>
  </w:p>
  <w:p w:rsidR="00F83E42" w:rsidRPr="007E2644" w:rsidRDefault="00F83E42" w:rsidP="00F83E42">
    <w:pPr>
      <w:pStyle w:val="a5"/>
      <w:ind w:leftChars="74" w:left="148" w:right="84"/>
      <w:jc w:val="left"/>
      <w:rPr>
        <w:rFonts w:ascii="HGｺﾞｼｯｸM" w:eastAsia="HGｺﾞｼｯｸM"/>
        <w:sz w:val="16"/>
        <w:szCs w:val="16"/>
      </w:rPr>
    </w:pPr>
    <w:r>
      <w:rPr>
        <w:rFonts w:ascii="HGｺﾞｼｯｸM" w:eastAsia="HGｺﾞｼｯｸM" w:hint="eastAsia"/>
        <w:sz w:val="16"/>
        <w:szCs w:val="16"/>
      </w:rPr>
      <w:t>開示資料には、所定の</w:t>
    </w:r>
    <w:r w:rsidRPr="00BD5FED">
      <w:rPr>
        <w:rFonts w:ascii="HGｺﾞｼｯｸM" w:eastAsia="HGｺﾞｼｯｸM" w:hint="eastAsia"/>
        <w:sz w:val="16"/>
        <w:szCs w:val="16"/>
      </w:rPr>
      <w:t>開示事項（太字）を掲記し、開示・記載上の注意（細字）を参照のうえ、投資者が会社情報を適切に理解・判断できるよう記載してください。また、所定の開示事項に限らず、投資者が会社情報を適切に理解・判断するために必要な事項も記載してください。</w:t>
    </w:r>
  </w:p>
  <w:p w:rsidR="00F83E42" w:rsidRPr="00F83E42" w:rsidRDefault="00F83E4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204C5A"/>
    <w:multiLevelType w:val="hybridMultilevel"/>
    <w:tmpl w:val="A8A2C258"/>
    <w:lvl w:ilvl="0" w:tplc="BD1424CA">
      <w:numFmt w:val="bullet"/>
      <w:lvlText w:val="※"/>
      <w:lvlJc w:val="left"/>
      <w:pPr>
        <w:tabs>
          <w:tab w:val="num" w:pos="2064"/>
        </w:tabs>
        <w:ind w:left="2064" w:hanging="360"/>
      </w:pPr>
      <w:rPr>
        <w:rFonts w:ascii="ＭＳ 明朝" w:eastAsia="ＭＳ 明朝" w:hAnsi="ＭＳ 明朝" w:cs="Tahoma" w:hint="eastAsia"/>
      </w:rPr>
    </w:lvl>
    <w:lvl w:ilvl="1" w:tplc="0409000B" w:tentative="1">
      <w:start w:val="1"/>
      <w:numFmt w:val="bullet"/>
      <w:lvlText w:val=""/>
      <w:lvlJc w:val="left"/>
      <w:pPr>
        <w:tabs>
          <w:tab w:val="num" w:pos="2544"/>
        </w:tabs>
        <w:ind w:left="2544" w:hanging="420"/>
      </w:pPr>
      <w:rPr>
        <w:rFonts w:ascii="Wingdings" w:hAnsi="Wingdings" w:hint="default"/>
      </w:rPr>
    </w:lvl>
    <w:lvl w:ilvl="2" w:tplc="0409000D" w:tentative="1">
      <w:start w:val="1"/>
      <w:numFmt w:val="bullet"/>
      <w:lvlText w:val=""/>
      <w:lvlJc w:val="left"/>
      <w:pPr>
        <w:tabs>
          <w:tab w:val="num" w:pos="2964"/>
        </w:tabs>
        <w:ind w:left="2964" w:hanging="420"/>
      </w:pPr>
      <w:rPr>
        <w:rFonts w:ascii="Wingdings" w:hAnsi="Wingdings" w:hint="default"/>
      </w:rPr>
    </w:lvl>
    <w:lvl w:ilvl="3" w:tplc="04090001" w:tentative="1">
      <w:start w:val="1"/>
      <w:numFmt w:val="bullet"/>
      <w:lvlText w:val=""/>
      <w:lvlJc w:val="left"/>
      <w:pPr>
        <w:tabs>
          <w:tab w:val="num" w:pos="3384"/>
        </w:tabs>
        <w:ind w:left="3384" w:hanging="420"/>
      </w:pPr>
      <w:rPr>
        <w:rFonts w:ascii="Wingdings" w:hAnsi="Wingdings" w:hint="default"/>
      </w:rPr>
    </w:lvl>
    <w:lvl w:ilvl="4" w:tplc="0409000B" w:tentative="1">
      <w:start w:val="1"/>
      <w:numFmt w:val="bullet"/>
      <w:lvlText w:val=""/>
      <w:lvlJc w:val="left"/>
      <w:pPr>
        <w:tabs>
          <w:tab w:val="num" w:pos="3804"/>
        </w:tabs>
        <w:ind w:left="3804" w:hanging="420"/>
      </w:pPr>
      <w:rPr>
        <w:rFonts w:ascii="Wingdings" w:hAnsi="Wingdings" w:hint="default"/>
      </w:rPr>
    </w:lvl>
    <w:lvl w:ilvl="5" w:tplc="0409000D" w:tentative="1">
      <w:start w:val="1"/>
      <w:numFmt w:val="bullet"/>
      <w:lvlText w:val=""/>
      <w:lvlJc w:val="left"/>
      <w:pPr>
        <w:tabs>
          <w:tab w:val="num" w:pos="4224"/>
        </w:tabs>
        <w:ind w:left="4224" w:hanging="420"/>
      </w:pPr>
      <w:rPr>
        <w:rFonts w:ascii="Wingdings" w:hAnsi="Wingdings" w:hint="default"/>
      </w:rPr>
    </w:lvl>
    <w:lvl w:ilvl="6" w:tplc="04090001" w:tentative="1">
      <w:start w:val="1"/>
      <w:numFmt w:val="bullet"/>
      <w:lvlText w:val=""/>
      <w:lvlJc w:val="left"/>
      <w:pPr>
        <w:tabs>
          <w:tab w:val="num" w:pos="4644"/>
        </w:tabs>
        <w:ind w:left="4644" w:hanging="420"/>
      </w:pPr>
      <w:rPr>
        <w:rFonts w:ascii="Wingdings" w:hAnsi="Wingdings" w:hint="default"/>
      </w:rPr>
    </w:lvl>
    <w:lvl w:ilvl="7" w:tplc="0409000B" w:tentative="1">
      <w:start w:val="1"/>
      <w:numFmt w:val="bullet"/>
      <w:lvlText w:val=""/>
      <w:lvlJc w:val="left"/>
      <w:pPr>
        <w:tabs>
          <w:tab w:val="num" w:pos="5064"/>
        </w:tabs>
        <w:ind w:left="5064" w:hanging="420"/>
      </w:pPr>
      <w:rPr>
        <w:rFonts w:ascii="Wingdings" w:hAnsi="Wingdings" w:hint="default"/>
      </w:rPr>
    </w:lvl>
    <w:lvl w:ilvl="8" w:tplc="0409000D" w:tentative="1">
      <w:start w:val="1"/>
      <w:numFmt w:val="bullet"/>
      <w:lvlText w:val=""/>
      <w:lvlJc w:val="left"/>
      <w:pPr>
        <w:tabs>
          <w:tab w:val="num" w:pos="5484"/>
        </w:tabs>
        <w:ind w:left="548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proofState w:spelling="clean" w:grammar="clean"/>
  <w:defaultTabStop w:val="840"/>
  <w:drawingGridHorizontalSpacing w:val="9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CD"/>
    <w:rsid w:val="00042C87"/>
    <w:rsid w:val="000E6E0D"/>
    <w:rsid w:val="00104F65"/>
    <w:rsid w:val="0034359F"/>
    <w:rsid w:val="003560C8"/>
    <w:rsid w:val="003A61FA"/>
    <w:rsid w:val="004265DF"/>
    <w:rsid w:val="00534E82"/>
    <w:rsid w:val="00640FCB"/>
    <w:rsid w:val="006826A6"/>
    <w:rsid w:val="00697DAD"/>
    <w:rsid w:val="006D3383"/>
    <w:rsid w:val="0075593E"/>
    <w:rsid w:val="00776CDA"/>
    <w:rsid w:val="00781614"/>
    <w:rsid w:val="00791402"/>
    <w:rsid w:val="007B068D"/>
    <w:rsid w:val="008510A5"/>
    <w:rsid w:val="009111D8"/>
    <w:rsid w:val="00A63642"/>
    <w:rsid w:val="00AF5CCF"/>
    <w:rsid w:val="00B71FCD"/>
    <w:rsid w:val="00BA7A5C"/>
    <w:rsid w:val="00D321F7"/>
    <w:rsid w:val="00D454C2"/>
    <w:rsid w:val="00D4558C"/>
    <w:rsid w:val="00D9175E"/>
    <w:rsid w:val="00EC2EF6"/>
    <w:rsid w:val="00F83E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483E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71FCD"/>
    <w:pPr>
      <w:widowControl w:val="0"/>
      <w:jc w:val="both"/>
    </w:pPr>
    <w:rPr>
      <w:rFonts w:ascii="ＭＳ 明朝" w:eastAsia="ＭＳ 明朝" w:hAnsi="Century" w:cs="Times New Roman"/>
      <w:sz w:val="20"/>
      <w:szCs w:val="20"/>
    </w:rPr>
  </w:style>
  <w:style w:type="paragraph" w:styleId="3">
    <w:name w:val="heading 3"/>
    <w:basedOn w:val="a"/>
    <w:next w:val="a"/>
    <w:link w:val="30"/>
    <w:qFormat/>
    <w:rsid w:val="00B71FC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B71FCD"/>
    <w:rPr>
      <w:rFonts w:ascii="Arial" w:eastAsia="ＭＳ ゴシック" w:hAnsi="Arial" w:cs="Times New Roman"/>
      <w:sz w:val="20"/>
      <w:szCs w:val="20"/>
    </w:rPr>
  </w:style>
  <w:style w:type="paragraph" w:styleId="a3">
    <w:name w:val="Closing"/>
    <w:basedOn w:val="a"/>
    <w:link w:val="a4"/>
    <w:rsid w:val="00B71FCD"/>
    <w:pPr>
      <w:jc w:val="right"/>
    </w:pPr>
    <w:rPr>
      <w:sz w:val="21"/>
      <w:szCs w:val="21"/>
    </w:rPr>
  </w:style>
  <w:style w:type="character" w:customStyle="1" w:styleId="a4">
    <w:name w:val="結語 (文字)"/>
    <w:basedOn w:val="a0"/>
    <w:link w:val="a3"/>
    <w:rsid w:val="00B71FCD"/>
    <w:rPr>
      <w:rFonts w:ascii="ＭＳ 明朝" w:eastAsia="ＭＳ 明朝" w:hAnsi="Century" w:cs="Times New Roman"/>
      <w:szCs w:val="21"/>
    </w:rPr>
  </w:style>
  <w:style w:type="paragraph" w:styleId="a5">
    <w:name w:val="header"/>
    <w:basedOn w:val="a"/>
    <w:link w:val="a6"/>
    <w:unhideWhenUsed/>
    <w:rsid w:val="00D454C2"/>
    <w:pPr>
      <w:tabs>
        <w:tab w:val="center" w:pos="4252"/>
        <w:tab w:val="right" w:pos="8504"/>
      </w:tabs>
      <w:snapToGrid w:val="0"/>
    </w:pPr>
  </w:style>
  <w:style w:type="character" w:customStyle="1" w:styleId="a6">
    <w:name w:val="ヘッダー (文字)"/>
    <w:basedOn w:val="a0"/>
    <w:link w:val="a5"/>
    <w:rsid w:val="00D454C2"/>
    <w:rPr>
      <w:rFonts w:ascii="ＭＳ 明朝" w:eastAsia="ＭＳ 明朝" w:hAnsi="Century" w:cs="Times New Roman"/>
      <w:sz w:val="20"/>
      <w:szCs w:val="20"/>
    </w:rPr>
  </w:style>
  <w:style w:type="paragraph" w:styleId="a7">
    <w:name w:val="footer"/>
    <w:basedOn w:val="a"/>
    <w:link w:val="a8"/>
    <w:uiPriority w:val="99"/>
    <w:unhideWhenUsed/>
    <w:rsid w:val="00D454C2"/>
    <w:pPr>
      <w:tabs>
        <w:tab w:val="center" w:pos="4252"/>
        <w:tab w:val="right" w:pos="8504"/>
      </w:tabs>
      <w:snapToGrid w:val="0"/>
    </w:pPr>
  </w:style>
  <w:style w:type="character" w:customStyle="1" w:styleId="a8">
    <w:name w:val="フッター (文字)"/>
    <w:basedOn w:val="a0"/>
    <w:link w:val="a7"/>
    <w:uiPriority w:val="99"/>
    <w:rsid w:val="00D454C2"/>
    <w:rPr>
      <w:rFonts w:ascii="ＭＳ 明朝" w:eastAsia="ＭＳ 明朝" w:hAnsi="Century" w:cs="Times New Roman"/>
      <w:sz w:val="20"/>
      <w:szCs w:val="20"/>
    </w:rPr>
  </w:style>
  <w:style w:type="paragraph" w:styleId="a9">
    <w:name w:val="Note Heading"/>
    <w:basedOn w:val="a"/>
    <w:next w:val="a"/>
    <w:link w:val="aa"/>
    <w:rsid w:val="007B068D"/>
    <w:pPr>
      <w:jc w:val="center"/>
    </w:pPr>
    <w:rPr>
      <w:rFonts w:ascii="Century"/>
      <w:sz w:val="22"/>
    </w:rPr>
  </w:style>
  <w:style w:type="character" w:customStyle="1" w:styleId="aa">
    <w:name w:val="記 (文字)"/>
    <w:basedOn w:val="a0"/>
    <w:link w:val="a9"/>
    <w:rsid w:val="007B068D"/>
    <w:rPr>
      <w:rFonts w:ascii="Century" w:eastAsia="ＭＳ 明朝" w:hAnsi="Century"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759</Characters>
  <Application>Microsoft Office Word</Application>
  <DocSecurity>0</DocSecurity>
  <Lines>6</Lines>
  <Paragraphs>1</Paragraphs>
  <ScaleCrop>false</ScaleCrop>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2020-03-13T11:56:00Z</dcterms:created>
  <dcterms:modified xsi:type="dcterms:W3CDTF">2020-10-22T02:11:00Z</dcterms:modified>
</cp:coreProperties>
</file>