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DD" w:rsidRPr="00704E8F" w:rsidRDefault="005D09DD" w:rsidP="00770B94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5D09DD" w:rsidRPr="00704E8F" w:rsidRDefault="005D09DD" w:rsidP="005D09DD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 w:rsidRPr="003048B1"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の概要（名称、所在地、代表者の役職・氏名、事業内容、資本金）を記載したうえで、上場会社の「事業の全部又は一部の譲渡又は譲受け」に係る取扱いに準じて、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5D09DD" w:rsidRPr="00704E8F" w:rsidRDefault="005D09DD" w:rsidP="005D09DD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D57A83">
        <w:rPr>
          <w:rFonts w:hint="eastAsia"/>
        </w:rPr>
        <w:t>詳細は、「【子会社</w:t>
      </w:r>
      <w:r w:rsidRPr="003048B1">
        <w:rPr>
          <w:rFonts w:hAnsi="ＭＳ 明朝" w:cs="Tahoma" w:hint="eastAsia"/>
        </w:rPr>
        <w:t>等</w:t>
      </w:r>
      <w:r w:rsidRPr="00D57A83">
        <w:rPr>
          <w:rFonts w:hint="eastAsia"/>
        </w:rPr>
        <w:t>・孫会社の定義及び開示に関する取扱いについて】（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）支配株主との重要な取引等に係る適時開示実務上の取扱い」を参照してください。</w:t>
      </w:r>
    </w:p>
    <w:p w:rsidR="005D09DD" w:rsidRPr="00704E8F" w:rsidRDefault="005D09DD" w:rsidP="005D09DD">
      <w:pPr>
        <w:ind w:leftChars="300" w:left="569" w:firstLineChars="96" w:firstLine="182"/>
        <w:rPr>
          <w:rFonts w:hAnsi="ＭＳ 明朝" w:cs="Tahoma"/>
        </w:rPr>
      </w:pPr>
    </w:p>
    <w:p w:rsidR="008110A5" w:rsidRPr="005D09DD" w:rsidRDefault="00770B94" w:rsidP="005D09DD"/>
    <w:sectPr w:rsidR="008110A5" w:rsidRPr="005D09DD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430B4"/>
    <w:rsid w:val="0039638B"/>
    <w:rsid w:val="00534E82"/>
    <w:rsid w:val="005D09DD"/>
    <w:rsid w:val="0063166B"/>
    <w:rsid w:val="00770B94"/>
    <w:rsid w:val="007B068D"/>
    <w:rsid w:val="009111D8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CDB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A54C006D.dotm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2020-03-17T08:05:00Z</dcterms:modified>
</cp:coreProperties>
</file>