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12" w:rsidRPr="00704E8F" w:rsidRDefault="000C7312" w:rsidP="000C7312">
      <w:pPr>
        <w:ind w:firstLineChars="498" w:firstLine="949"/>
        <w:rPr>
          <w:b/>
        </w:rPr>
      </w:pPr>
      <w:bookmarkStart w:id="0" w:name="_GoBack"/>
      <w:bookmarkEnd w:id="0"/>
      <w:r w:rsidRPr="00704E8F">
        <w:rPr>
          <w:rFonts w:hint="eastAsia"/>
          <w:b/>
        </w:rPr>
        <w:t>ａ．当該子会社</w:t>
      </w:r>
      <w:r>
        <w:rPr>
          <w:rFonts w:hint="eastAsia"/>
          <w:b/>
        </w:rPr>
        <w:t>等</w:t>
      </w:r>
      <w:r w:rsidRPr="00704E8F">
        <w:rPr>
          <w:rFonts w:hint="eastAsia"/>
          <w:b/>
        </w:rPr>
        <w:t>の概要</w:t>
      </w:r>
    </w:p>
    <w:p w:rsidR="000C7312" w:rsidRPr="00704E8F" w:rsidRDefault="000C7312" w:rsidP="000C7312">
      <w:pPr>
        <w:snapToGrid w:val="0"/>
        <w:ind w:firstLineChars="790" w:firstLine="1341"/>
        <w:jc w:val="left"/>
        <w:rPr>
          <w:sz w:val="18"/>
          <w:szCs w:val="18"/>
        </w:rPr>
      </w:pPr>
      <w:r w:rsidRPr="00704E8F">
        <w:rPr>
          <w:rFonts w:hint="eastAsia"/>
          <w:sz w:val="18"/>
          <w:szCs w:val="18"/>
        </w:rPr>
        <w:t>・　名称、所在地、代表者の役職・氏名、事業内容、資本金を記載する。</w:t>
      </w:r>
    </w:p>
    <w:p w:rsidR="000C7312" w:rsidRPr="00704E8F" w:rsidRDefault="000C7312" w:rsidP="000C7312">
      <w:pPr>
        <w:ind w:firstLineChars="496" w:firstLine="945"/>
        <w:rPr>
          <w:rFonts w:hAnsi="ＭＳ 明朝" w:cs="Tahoma"/>
          <w:b/>
        </w:rPr>
      </w:pPr>
      <w:r w:rsidRPr="00704E8F">
        <w:rPr>
          <w:rFonts w:hAnsi="ＭＳ 明朝" w:cs="Tahoma" w:hint="eastAsia"/>
          <w:b/>
        </w:rPr>
        <w:t>ｂ．修正理由</w:t>
      </w:r>
    </w:p>
    <w:p w:rsidR="000C7312" w:rsidRPr="00704E8F" w:rsidRDefault="000C7312" w:rsidP="000C7312">
      <w:pPr>
        <w:ind w:leftChars="202" w:left="383" w:firstLineChars="299" w:firstLine="570"/>
        <w:rPr>
          <w:rFonts w:hAnsi="ＭＳ 明朝" w:cs="Tahoma"/>
          <w:b/>
        </w:rPr>
      </w:pPr>
      <w:r w:rsidRPr="00704E8F">
        <w:rPr>
          <w:rFonts w:hAnsi="ＭＳ 明朝" w:cs="Tahoma" w:hint="eastAsia"/>
          <w:b/>
        </w:rPr>
        <w:t>ｃ．公表がされた直近の予想値（＊）</w:t>
      </w:r>
    </w:p>
    <w:p w:rsidR="000C7312" w:rsidRPr="00704E8F" w:rsidRDefault="000C7312" w:rsidP="000C7312">
      <w:pPr>
        <w:snapToGrid w:val="0"/>
        <w:ind w:leftChars="642" w:left="1558" w:hangingChars="200" w:hanging="340"/>
        <w:rPr>
          <w:rFonts w:hAnsi="ＭＳ 明朝" w:cs="Tahoma"/>
          <w:b/>
        </w:rPr>
      </w:pPr>
      <w:r w:rsidRPr="00704E8F">
        <w:rPr>
          <w:rFonts w:hAnsi="ＭＳ 明朝" w:cs="Tahoma" w:hint="eastAsia"/>
          <w:sz w:val="18"/>
          <w:szCs w:val="18"/>
        </w:rPr>
        <w:t>（＊）予想値がない場合は、公表がされた前事業年度の実績値。</w:t>
      </w:r>
    </w:p>
    <w:p w:rsidR="000C7312" w:rsidRPr="00704E8F" w:rsidRDefault="000C7312" w:rsidP="000C7312">
      <w:pPr>
        <w:ind w:leftChars="202" w:left="383" w:firstLineChars="299" w:firstLine="570"/>
        <w:rPr>
          <w:rFonts w:hAnsi="ＭＳ 明朝" w:cs="Tahoma"/>
          <w:b/>
        </w:rPr>
      </w:pPr>
      <w:r w:rsidRPr="00704E8F">
        <w:rPr>
          <w:rFonts w:hAnsi="ＭＳ 明朝" w:cs="Tahoma" w:hint="eastAsia"/>
          <w:b/>
        </w:rPr>
        <w:t>ｄ．新たに算出した予想値（＊）</w:t>
      </w:r>
    </w:p>
    <w:p w:rsidR="000C7312" w:rsidRPr="00704E8F" w:rsidRDefault="000C7312" w:rsidP="000C7312">
      <w:pPr>
        <w:snapToGrid w:val="0"/>
        <w:ind w:leftChars="660" w:left="1592" w:hangingChars="200" w:hanging="340"/>
        <w:rPr>
          <w:rFonts w:hAnsi="ＭＳ 明朝" w:cs="Tahoma"/>
          <w:sz w:val="18"/>
          <w:szCs w:val="18"/>
        </w:rPr>
      </w:pPr>
      <w:r w:rsidRPr="00704E8F">
        <w:rPr>
          <w:rFonts w:hAnsi="ＭＳ 明朝" w:cs="Tahoma" w:hint="eastAsia"/>
          <w:sz w:val="18"/>
          <w:szCs w:val="18"/>
        </w:rPr>
        <w:t>（＊）予想値と決算値の差異の開示においては、当事業年度の決算における数値とする。</w:t>
      </w:r>
    </w:p>
    <w:p w:rsidR="000C7312" w:rsidRPr="00704E8F" w:rsidRDefault="000C7312" w:rsidP="000C7312">
      <w:pPr>
        <w:ind w:firstLineChars="496" w:firstLine="945"/>
        <w:rPr>
          <w:rFonts w:hAnsi="ＭＳ 明朝" w:cs="Tahoma"/>
          <w:b/>
        </w:rPr>
      </w:pPr>
      <w:r w:rsidRPr="00704E8F">
        <w:rPr>
          <w:rFonts w:hAnsi="ＭＳ 明朝" w:cs="Tahoma" w:hint="eastAsia"/>
          <w:b/>
        </w:rPr>
        <w:t>ｅ．ｃ</w:t>
      </w:r>
      <w:r>
        <w:rPr>
          <w:rFonts w:hAnsi="ＭＳ 明朝" w:cs="Tahoma" w:hint="eastAsia"/>
          <w:b/>
        </w:rPr>
        <w:t>．</w:t>
      </w:r>
      <w:r w:rsidRPr="00704E8F">
        <w:rPr>
          <w:rFonts w:hAnsi="ＭＳ 明朝" w:cs="Tahoma" w:hint="eastAsia"/>
          <w:b/>
        </w:rPr>
        <w:t>とｄ</w:t>
      </w:r>
      <w:r>
        <w:rPr>
          <w:rFonts w:hAnsi="ＭＳ 明朝" w:cs="Tahoma" w:hint="eastAsia"/>
          <w:b/>
        </w:rPr>
        <w:t>．</w:t>
      </w:r>
      <w:r w:rsidRPr="00704E8F">
        <w:rPr>
          <w:rFonts w:hAnsi="ＭＳ 明朝" w:cs="Tahoma" w:hint="eastAsia"/>
          <w:b/>
        </w:rPr>
        <w:t>の変動幅及び変動率</w:t>
      </w:r>
    </w:p>
    <w:p w:rsidR="000C7312" w:rsidRPr="00704E8F" w:rsidRDefault="000C7312" w:rsidP="000C7312">
      <w:pPr>
        <w:ind w:firstLineChars="496" w:firstLine="945"/>
        <w:rPr>
          <w:rFonts w:hAnsi="ＭＳ 明朝" w:cs="Tahoma"/>
        </w:rPr>
      </w:pPr>
      <w:r w:rsidRPr="00704E8F">
        <w:rPr>
          <w:rFonts w:hAnsi="ＭＳ 明朝" w:cs="Tahoma" w:hint="eastAsia"/>
          <w:b/>
        </w:rPr>
        <w:t>ｆ．上場会社の業績予想の修正有無</w:t>
      </w:r>
    </w:p>
    <w:p w:rsidR="000C7312" w:rsidRPr="00C11522" w:rsidRDefault="000C7312" w:rsidP="000C7312">
      <w:pPr>
        <w:ind w:firstLineChars="496" w:firstLine="945"/>
        <w:rPr>
          <w:rFonts w:hAnsi="ＭＳ 明朝" w:cs="Tahoma"/>
          <w:b/>
        </w:rPr>
      </w:pPr>
      <w:r w:rsidRPr="00704E8F">
        <w:rPr>
          <w:rFonts w:hAnsi="ＭＳ 明朝" w:cs="Tahoma" w:hint="eastAsia"/>
          <w:b/>
        </w:rPr>
        <w:t>ｇ</w:t>
      </w:r>
      <w:r w:rsidRPr="00704E8F">
        <w:rPr>
          <w:rFonts w:hAnsi="ＭＳ 明朝" w:cs="Tahoma"/>
          <w:b/>
        </w:rPr>
        <w:t>．その他投資者が会社情報を適切に理解・判断するために必要な事項</w:t>
      </w:r>
    </w:p>
    <w:p w:rsidR="008110A5" w:rsidRPr="000C7312" w:rsidRDefault="00B259A6" w:rsidP="000C7312"/>
    <w:sectPr w:rsidR="008110A5" w:rsidRPr="000C7312" w:rsidSect="00CD3F11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304" w:bottom="851" w:left="1304" w:header="284" w:footer="284" w:gutter="0"/>
      <w:pgNumType w:start="529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A6" w:rsidRDefault="00B259A6" w:rsidP="00D454C2">
      <w:r>
        <w:separator/>
      </w:r>
    </w:p>
  </w:endnote>
  <w:endnote w:type="continuationSeparator" w:id="0">
    <w:p w:rsidR="00B259A6" w:rsidRDefault="00B259A6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Default="007A1D55">
    <w:pPr>
      <w:jc w:val="right"/>
      <w:rPr>
        <w:rFonts w:ascii="HGｺﾞｼｯｸM" w:eastAsia="HGｺﾞｼｯｸM"/>
        <w:sz w:val="16"/>
        <w:szCs w:val="16"/>
      </w:rPr>
    </w:pPr>
    <w:r w:rsidRPr="00697F4F">
      <w:rPr>
        <w:rFonts w:ascii="HGｺﾞｼｯｸM" w:eastAsia="HGｺﾞｼｯｸM" w:hint="eastAsia"/>
        <w:sz w:val="16"/>
        <w:szCs w:val="16"/>
      </w:rPr>
      <w:t>東京証券取引所</w:t>
    </w:r>
    <w:r>
      <w:rPr>
        <w:rFonts w:ascii="HGｺﾞｼｯｸM" w:eastAsia="HGｺﾞｼｯｸM" w:hint="eastAsia"/>
        <w:sz w:val="16"/>
        <w:szCs w:val="16"/>
      </w:rPr>
      <w:t xml:space="preserve"> </w:t>
    </w:r>
    <w:r w:rsidRPr="00697F4F">
      <w:rPr>
        <w:rFonts w:ascii="HGｺﾞｼｯｸM" w:eastAsia="HGｺﾞｼｯｸM" w:hint="eastAsia"/>
        <w:sz w:val="16"/>
        <w:szCs w:val="16"/>
      </w:rPr>
      <w:t>会社情報適時開示ガイドブック</w:t>
    </w:r>
    <w:r>
      <w:rPr>
        <w:rFonts w:ascii="HGｺﾞｼｯｸM" w:eastAsia="HGｺﾞｼｯｸM" w:hint="eastAsia"/>
        <w:sz w:val="16"/>
        <w:szCs w:val="16"/>
      </w:rPr>
      <w:t>2018年8月</w:t>
    </w:r>
  </w:p>
  <w:p w:rsidR="007E1878" w:rsidRDefault="007A1D55" w:rsidP="007E1878">
    <w:pPr>
      <w:pStyle w:val="a7"/>
      <w:framePr w:wrap="around" w:vAnchor="page" w:hAnchor="margin" w:xAlign="outside" w:y="1620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530</w:t>
    </w:r>
    <w:r>
      <w:rPr>
        <w:rStyle w:val="ab"/>
      </w:rPr>
      <w:fldChar w:fldCharType="end"/>
    </w:r>
  </w:p>
  <w:p w:rsidR="00721B09" w:rsidRPr="007E1878" w:rsidRDefault="007A1D55" w:rsidP="007E1878">
    <w:pPr>
      <w:jc w:val="right"/>
      <w:rPr>
        <w:rFonts w:ascii="HGｺﾞｼｯｸM" w:eastAsia="HGｺﾞｼｯｸM"/>
        <w:sz w:val="16"/>
        <w:szCs w:val="16"/>
      </w:rPr>
    </w:pPr>
    <w:r w:rsidRPr="00A03DC1">
      <w:rPr>
        <w:rFonts w:ascii="Tahoma" w:eastAsia="HGｺﾞｼｯｸM" w:hAnsi="Tahoma" w:cs="Tahoma"/>
        <w:sz w:val="13"/>
        <w:szCs w:val="13"/>
      </w:rPr>
      <w:t>copyright © 20</w:t>
    </w:r>
    <w:r>
      <w:rPr>
        <w:rFonts w:ascii="Tahoma" w:eastAsia="HGｺﾞｼｯｸM" w:hAnsi="Tahoma" w:cs="Tahoma" w:hint="eastAsia"/>
        <w:sz w:val="13"/>
        <w:szCs w:val="13"/>
      </w:rPr>
      <w:t>18</w:t>
    </w:r>
    <w:r w:rsidRPr="00A03DC1">
      <w:rPr>
        <w:rFonts w:ascii="Tahoma" w:eastAsia="HGｺﾞｼｯｸM" w:hAnsi="Tahoma" w:cs="Tahoma"/>
        <w:sz w:val="13"/>
        <w:szCs w:val="13"/>
      </w:rPr>
      <w:t xml:space="preserve"> Tokyo Stock Exchange,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7E1878" w:rsidRDefault="00B259A6" w:rsidP="007E1878">
    <w:pPr>
      <w:pStyle w:val="a7"/>
      <w:ind w:right="360"/>
      <w:rPr>
        <w:rFonts w:ascii="HGｺﾞｼｯｸM" w:eastAsia="HGｺﾞｼｯｸ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A6" w:rsidRDefault="00B259A6" w:rsidP="00D454C2">
      <w:r>
        <w:separator/>
      </w:r>
    </w:p>
  </w:footnote>
  <w:footnote w:type="continuationSeparator" w:id="0">
    <w:p w:rsidR="00B259A6" w:rsidRDefault="00B259A6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B09" w:rsidRPr="00843F4A" w:rsidRDefault="007A1D55">
    <w:pPr>
      <w:pStyle w:val="a5"/>
    </w:pPr>
    <w:r>
      <w:rPr>
        <w:rFonts w:ascii="HGｺﾞｼｯｸM" w:eastAsia="HGｺﾞｼｯｸM" w:hAnsi="ＭＳ ゴシック" w:hint="eastAsia"/>
        <w:sz w:val="16"/>
        <w:szCs w:val="16"/>
      </w:rPr>
      <w:t>第２編</w:t>
    </w:r>
    <w:r w:rsidRPr="007E2644">
      <w:rPr>
        <w:rFonts w:ascii="HGｺﾞｼｯｸM" w:eastAsia="HGｺﾞｼｯｸM" w:hAnsi="ＭＳ ゴシック" w:hint="eastAsia"/>
        <w:sz w:val="16"/>
        <w:szCs w:val="16"/>
      </w:rPr>
      <w:t>第</w:t>
    </w:r>
    <w:r>
      <w:rPr>
        <w:rFonts w:ascii="HGｺﾞｼｯｸM" w:eastAsia="HGｺﾞｼｯｸM" w:hAnsi="ＭＳ ゴシック" w:hint="eastAsia"/>
        <w:sz w:val="16"/>
        <w:szCs w:val="16"/>
      </w:rPr>
      <w:t>６</w:t>
    </w:r>
    <w:r w:rsidRPr="007E2644">
      <w:rPr>
        <w:rFonts w:ascii="HGｺﾞｼｯｸM" w:eastAsia="HGｺﾞｼｯｸM" w:hAnsi="ＭＳ ゴシック" w:hint="eastAsia"/>
        <w:sz w:val="16"/>
        <w:szCs w:val="16"/>
      </w:rPr>
      <w:t xml:space="preserve">章　　</w:t>
    </w:r>
    <w:r>
      <w:rPr>
        <w:rFonts w:ascii="HGｺﾞｼｯｸM" w:eastAsia="HGｺﾞｼｯｸM" w:hAnsi="ＭＳ ゴシック" w:hint="eastAsia"/>
        <w:sz w:val="16"/>
        <w:szCs w:val="16"/>
      </w:rPr>
      <w:t>子会社等の情報</w:t>
    </w:r>
  </w:p>
  <w:p w:rsidR="00721B09" w:rsidRDefault="00B259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E92" w:rsidRDefault="002A7E92" w:rsidP="002A7E92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2A7E92" w:rsidRPr="00CA32B2" w:rsidRDefault="002A7E92" w:rsidP="002A7E92">
    <w:pPr>
      <w:pStyle w:val="a5"/>
      <w:ind w:leftChars="74" w:left="148"/>
    </w:pPr>
    <w:r w:rsidRPr="000A7790">
      <w:rPr>
        <w:rFonts w:ascii="HGｺﾞｼｯｸM" w:eastAsia="HGｺﾞｼｯｸM" w:hint="eastAsia"/>
        <w:sz w:val="16"/>
        <w:szCs w:val="16"/>
      </w:rPr>
      <w:t>開示資料には、所定の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2A7E92" w:rsidRPr="002A7E92" w:rsidRDefault="002A7E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C7312"/>
    <w:rsid w:val="00127F74"/>
    <w:rsid w:val="0029283B"/>
    <w:rsid w:val="002A7E92"/>
    <w:rsid w:val="00394983"/>
    <w:rsid w:val="0039638B"/>
    <w:rsid w:val="00534E82"/>
    <w:rsid w:val="006D1291"/>
    <w:rsid w:val="007A1D55"/>
    <w:rsid w:val="007B068D"/>
    <w:rsid w:val="009111D8"/>
    <w:rsid w:val="00942F29"/>
    <w:rsid w:val="00A63642"/>
    <w:rsid w:val="00AF5CCF"/>
    <w:rsid w:val="00B259A6"/>
    <w:rsid w:val="00B71FCD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EDA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  <w:style w:type="character" w:styleId="ab">
    <w:name w:val="page number"/>
    <w:basedOn w:val="a0"/>
    <w:rsid w:val="007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2020-10-30T07:04:00Z</dcterms:modified>
</cp:coreProperties>
</file>