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9E" w:rsidRPr="00F0730C" w:rsidRDefault="005B079E" w:rsidP="005B079E">
      <w:pPr>
        <w:pStyle w:val="3"/>
        <w:ind w:leftChars="0" w:left="0" w:firstLineChars="200" w:firstLine="381"/>
        <w:rPr>
          <w:rFonts w:ascii="ＭＳ ゴシック" w:hAnsi="ＭＳ ゴシック" w:cs="Tahoma"/>
          <w:b/>
          <w:bCs/>
        </w:rPr>
      </w:pPr>
      <w:bookmarkStart w:id="0" w:name="_Toc215391739"/>
      <w:bookmarkStart w:id="1" w:name="_Toc215904504"/>
      <w:bookmarkStart w:id="2" w:name="_Toc216182074"/>
      <w:r w:rsidRPr="00F0730C">
        <w:rPr>
          <w:rFonts w:ascii="ＭＳ ゴシック" w:hAnsi="ＭＳ ゴシック" w:cs="Tahoma"/>
          <w:b/>
          <w:bCs/>
        </w:rPr>
        <w:t xml:space="preserve">①　</w:t>
      </w:r>
      <w:r w:rsidRPr="00F0730C">
        <w:rPr>
          <w:rFonts w:ascii="ＭＳ ゴシック" w:hAnsi="ＭＳ ゴシック" w:cs="Tahoma" w:hint="eastAsia"/>
          <w:b/>
          <w:bCs/>
        </w:rPr>
        <w:t>ＭＳＣＢ等の月間行使状況に関する開示</w:t>
      </w:r>
      <w:bookmarkStart w:id="3" w:name="_GoBack"/>
      <w:bookmarkEnd w:id="0"/>
      <w:bookmarkEnd w:id="1"/>
      <w:bookmarkEnd w:id="2"/>
      <w:bookmarkEnd w:id="3"/>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B079E" w:rsidRPr="00F0730C" w:rsidTr="00517E5F">
        <w:trPr>
          <w:trHeight w:val="67"/>
          <w:tblHeader/>
        </w:trPr>
        <w:tc>
          <w:tcPr>
            <w:tcW w:w="2775" w:type="dxa"/>
            <w:shd w:val="clear" w:color="auto" w:fill="D9D9D9"/>
            <w:vAlign w:val="center"/>
          </w:tcPr>
          <w:p w:rsidR="005B079E" w:rsidRPr="00F0730C" w:rsidRDefault="005B079E" w:rsidP="00517E5F">
            <w:pPr>
              <w:snapToGrid w:val="0"/>
              <w:spacing w:line="260" w:lineRule="exact"/>
              <w:jc w:val="center"/>
              <w:rPr>
                <w:rFonts w:hAnsi="ＭＳ 明朝" w:cs="Tahoma"/>
              </w:rPr>
            </w:pPr>
            <w:r w:rsidRPr="00F0730C">
              <w:rPr>
                <w:rFonts w:hAnsi="ＭＳ 明朝" w:cs="Tahoma"/>
              </w:rPr>
              <w:t>開示事項</w:t>
            </w:r>
          </w:p>
        </w:tc>
        <w:tc>
          <w:tcPr>
            <w:tcW w:w="6729" w:type="dxa"/>
            <w:shd w:val="clear" w:color="auto" w:fill="D9D9D9"/>
            <w:vAlign w:val="center"/>
          </w:tcPr>
          <w:p w:rsidR="005B079E" w:rsidRPr="00F0730C" w:rsidRDefault="005B079E" w:rsidP="00517E5F">
            <w:pPr>
              <w:snapToGrid w:val="0"/>
              <w:spacing w:line="260" w:lineRule="exact"/>
              <w:jc w:val="center"/>
              <w:rPr>
                <w:rFonts w:hAnsi="ＭＳ 明朝" w:cs="Tahoma"/>
              </w:rPr>
            </w:pPr>
            <w:r w:rsidRPr="00F0730C">
              <w:rPr>
                <w:rFonts w:hAnsi="ＭＳ 明朝" w:cs="Tahoma"/>
              </w:rPr>
              <w:t>開示・記載上の注意</w:t>
            </w:r>
          </w:p>
        </w:tc>
      </w:tr>
      <w:tr w:rsidR="005B079E" w:rsidRPr="00F0730C" w:rsidTr="00517E5F">
        <w:trPr>
          <w:trHeight w:val="171"/>
        </w:trPr>
        <w:tc>
          <w:tcPr>
            <w:tcW w:w="2775" w:type="dxa"/>
            <w:tcBorders>
              <w:top w:val="single" w:sz="4" w:space="0" w:color="auto"/>
              <w:bottom w:val="single" w:sz="4" w:space="0" w:color="auto"/>
            </w:tcBorders>
            <w:shd w:val="clear" w:color="auto" w:fill="auto"/>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　開示資料の表題</w:t>
            </w:r>
          </w:p>
        </w:tc>
        <w:tc>
          <w:tcPr>
            <w:tcW w:w="6729" w:type="dxa"/>
            <w:tcBorders>
              <w:top w:val="single" w:sz="4" w:space="0" w:color="auto"/>
              <w:bottom w:val="single" w:sz="4" w:space="0" w:color="auto"/>
            </w:tcBorders>
            <w:shd w:val="clear" w:color="auto" w:fill="auto"/>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表題は「ＭＳＣＢ等の月間行使状況に関するお知らせ」とする。</w:t>
            </w:r>
          </w:p>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　なお、「ＭＳＣＢ等」の部分については、これに代えて、「転換価額修正条項付新株予約権付社債」又は「行使価額修正条項付新株予約権付社債」のように表題の文中に転換価額等の修正条項が設けられている</w:t>
            </w:r>
            <w:r w:rsidRPr="00F0730C">
              <w:rPr>
                <w:rFonts w:hAnsi="ＭＳ 明朝" w:cs="Tahoma" w:hint="eastAsia"/>
                <w:sz w:val="18"/>
                <w:szCs w:val="18"/>
              </w:rPr>
              <w:t>旨を記載することでも差し支えないものとする。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１．銘柄名</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　複数のＭＳＣＢ等を発行している場合、項番１．から６．までの各項目について、銘柄（回号）ごとにそれぞれ記載する。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２．対象月間の交付株式数</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対象月間の交付株式数の合計を記載する。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３．対象月間の転換</w:t>
            </w:r>
            <w:r>
              <w:rPr>
                <w:rFonts w:hint="eastAsia"/>
                <w:sz w:val="18"/>
                <w:szCs w:val="18"/>
              </w:rPr>
              <w:t>（</w:t>
            </w:r>
            <w:r w:rsidRPr="00F0730C">
              <w:rPr>
                <w:rFonts w:hint="eastAsia"/>
                <w:sz w:val="18"/>
                <w:szCs w:val="18"/>
              </w:rPr>
              <w:t>行使</w:t>
            </w:r>
            <w:r>
              <w:rPr>
                <w:rFonts w:hint="eastAsia"/>
                <w:sz w:val="18"/>
                <w:szCs w:val="18"/>
              </w:rPr>
              <w:t>）</w:t>
            </w:r>
            <w:r w:rsidRPr="00F0730C">
              <w:rPr>
                <w:rFonts w:hint="eastAsia"/>
                <w:sz w:val="18"/>
                <w:szCs w:val="18"/>
              </w:rPr>
              <w:t>額面総額</w:t>
            </w:r>
            <w:r>
              <w:rPr>
                <w:rFonts w:hint="eastAsia"/>
                <w:sz w:val="18"/>
                <w:szCs w:val="18"/>
              </w:rPr>
              <w:t>及び発行総額に対する転換（行使）比率</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新株予約権の場合は、対象月間中に行使された新株予約権の数（個）</w:t>
            </w:r>
            <w:r>
              <w:rPr>
                <w:rFonts w:hint="eastAsia"/>
                <w:sz w:val="18"/>
                <w:szCs w:val="18"/>
              </w:rPr>
              <w:t>及び</w:t>
            </w:r>
            <w:r w:rsidRPr="00F0730C">
              <w:rPr>
                <w:rFonts w:hint="eastAsia"/>
                <w:sz w:val="18"/>
                <w:szCs w:val="18"/>
              </w:rPr>
              <w:t>新株予約権の</w:t>
            </w:r>
            <w:r>
              <w:rPr>
                <w:rFonts w:hint="eastAsia"/>
                <w:sz w:val="18"/>
                <w:szCs w:val="18"/>
              </w:rPr>
              <w:t>発行総数</w:t>
            </w:r>
            <w:r w:rsidRPr="00F0730C">
              <w:rPr>
                <w:rFonts w:hint="eastAsia"/>
                <w:sz w:val="18"/>
                <w:szCs w:val="18"/>
              </w:rPr>
              <w:t>（個）</w:t>
            </w:r>
            <w:r>
              <w:rPr>
                <w:rFonts w:hint="eastAsia"/>
                <w:sz w:val="18"/>
                <w:szCs w:val="18"/>
              </w:rPr>
              <w:t>に対する行使比率</w:t>
            </w:r>
            <w:r w:rsidRPr="00F0730C">
              <w:rPr>
                <w:rFonts w:hint="eastAsia"/>
                <w:sz w:val="18"/>
                <w:szCs w:val="18"/>
              </w:rPr>
              <w:t>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４．対象月の前月末時点における未行使残存額</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新株予約権の場合は、対象月の前月末時点における未行使の新株予約権の数（個）を記載する。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５．対象月の月末時点における未行使残存額</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新株予約権の場合は、対象月の月末時点における未行使の新株予約権の数（個）を記載する。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６．対象月間における転換（行使）状況</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対象月間の日付ごとに交付株式数（新株・移転自己株式）、転換（行使）価額、転換（行使）額面総額（新株予約権の場合は、行使された新株予約権の個数）を記載する。</w:t>
            </w:r>
          </w:p>
          <w:p w:rsidR="005B079E" w:rsidRPr="00F0730C" w:rsidRDefault="005B079E" w:rsidP="00517E5F">
            <w:pPr>
              <w:snapToGrid w:val="0"/>
              <w:spacing w:line="260" w:lineRule="exact"/>
              <w:ind w:leftChars="270" w:left="682" w:hangingChars="100" w:hanging="170"/>
              <w:rPr>
                <w:sz w:val="18"/>
                <w:szCs w:val="18"/>
              </w:rPr>
            </w:pPr>
            <w:r w:rsidRPr="00F0730C">
              <w:rPr>
                <w:rFonts w:hint="eastAsia"/>
                <w:sz w:val="18"/>
                <w:szCs w:val="18"/>
              </w:rPr>
              <w:t>※　行使がなかった日は、当該日付の欄は削除せず、転換（行使）価額のみを記載する（交付株式数、額面総額は「－」とする。）。</w:t>
            </w:r>
          </w:p>
          <w:p w:rsidR="005B079E" w:rsidRPr="00F0730C" w:rsidRDefault="005B079E" w:rsidP="00517E5F">
            <w:pPr>
              <w:snapToGrid w:val="0"/>
              <w:spacing w:line="260" w:lineRule="exact"/>
              <w:ind w:leftChars="90" w:left="171" w:firstLineChars="200" w:firstLine="340"/>
              <w:rPr>
                <w:sz w:val="18"/>
                <w:szCs w:val="18"/>
              </w:rPr>
            </w:pPr>
            <w:r w:rsidRPr="00F0730C">
              <w:rPr>
                <w:rFonts w:hint="eastAsia"/>
                <w:sz w:val="18"/>
                <w:szCs w:val="18"/>
              </w:rPr>
              <w:t>※　対象月の前月末時点における発行済株式数についても併せて注記する。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７．転換（行使）制限に関する状況</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転換（行使）制限に関する状況として、①　発行するＭＳＣＢ等のすべての回号を合計した月間の交付株式数、②　発行の払込日時点における上場株式数及び③　転換（行使）制限に関する比率（①の数を②の数で除したもの。）を記載する。</w:t>
            </w:r>
          </w:p>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転換（行使）制限を超えて行使が行われた場合には、その旨及びその理由について、わかりやすく具体的に記載する。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p>
        </w:tc>
      </w:tr>
    </w:tbl>
    <w:p w:rsidR="008C4325" w:rsidRDefault="008C4325" w:rsidP="005B079E">
      <w:pPr>
        <w:rPr>
          <w:rFonts w:hAnsi="ＭＳ 明朝" w:cs="Tahoma"/>
        </w:rPr>
      </w:pPr>
    </w:p>
    <w:p w:rsidR="008C4325" w:rsidRDefault="008C4325" w:rsidP="008C4325">
      <w:r>
        <w:br w:type="page"/>
      </w:r>
    </w:p>
    <w:p w:rsidR="005B079E" w:rsidRPr="00F0730C" w:rsidRDefault="005B079E" w:rsidP="005B079E">
      <w:pPr>
        <w:pStyle w:val="3"/>
        <w:ind w:leftChars="0" w:left="0" w:firstLineChars="200" w:firstLine="381"/>
        <w:rPr>
          <w:rFonts w:ascii="ＭＳ ゴシック" w:hAnsi="ＭＳ ゴシック" w:cs="Tahoma"/>
          <w:b/>
          <w:bCs/>
        </w:rPr>
      </w:pPr>
      <w:r w:rsidRPr="00F0730C">
        <w:rPr>
          <w:rFonts w:ascii="ＭＳ ゴシック" w:hAnsi="ＭＳ ゴシック" w:cs="Tahoma" w:hint="eastAsia"/>
          <w:b/>
          <w:bCs/>
        </w:rPr>
        <w:lastRenderedPageBreak/>
        <w:t>②</w:t>
      </w:r>
      <w:r w:rsidRPr="00F0730C">
        <w:rPr>
          <w:rFonts w:ascii="ＭＳ ゴシック" w:hAnsi="ＭＳ ゴシック" w:cs="Tahoma"/>
          <w:b/>
          <w:bCs/>
        </w:rPr>
        <w:t xml:space="preserve">　</w:t>
      </w:r>
      <w:r w:rsidRPr="00F0730C">
        <w:rPr>
          <w:rFonts w:ascii="ＭＳ ゴシック" w:hAnsi="ＭＳ ゴシック" w:cs="Tahoma" w:hint="eastAsia"/>
          <w:b/>
          <w:bCs/>
        </w:rPr>
        <w:t>ＭＳＣＢ等の大量行使に関する開示</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5B079E" w:rsidRPr="00F0730C" w:rsidTr="00517E5F">
        <w:trPr>
          <w:trHeight w:val="67"/>
          <w:tblHeader/>
        </w:trPr>
        <w:tc>
          <w:tcPr>
            <w:tcW w:w="2775" w:type="dxa"/>
            <w:shd w:val="clear" w:color="auto" w:fill="D9D9D9"/>
            <w:vAlign w:val="center"/>
          </w:tcPr>
          <w:p w:rsidR="005B079E" w:rsidRPr="00F0730C" w:rsidRDefault="005B079E" w:rsidP="00517E5F">
            <w:pPr>
              <w:snapToGrid w:val="0"/>
              <w:spacing w:line="260" w:lineRule="exact"/>
              <w:jc w:val="center"/>
              <w:rPr>
                <w:rFonts w:hAnsi="ＭＳ 明朝" w:cs="Tahoma"/>
              </w:rPr>
            </w:pPr>
            <w:r w:rsidRPr="00F0730C">
              <w:rPr>
                <w:rFonts w:hAnsi="ＭＳ 明朝" w:cs="Tahoma"/>
              </w:rPr>
              <w:t>開示事項</w:t>
            </w:r>
          </w:p>
        </w:tc>
        <w:tc>
          <w:tcPr>
            <w:tcW w:w="6729" w:type="dxa"/>
            <w:shd w:val="clear" w:color="auto" w:fill="D9D9D9"/>
            <w:vAlign w:val="center"/>
          </w:tcPr>
          <w:p w:rsidR="005B079E" w:rsidRPr="00F0730C" w:rsidRDefault="005B079E" w:rsidP="00517E5F">
            <w:pPr>
              <w:snapToGrid w:val="0"/>
              <w:spacing w:line="260" w:lineRule="exact"/>
              <w:jc w:val="center"/>
              <w:rPr>
                <w:rFonts w:hAnsi="ＭＳ 明朝" w:cs="Tahoma"/>
              </w:rPr>
            </w:pPr>
            <w:r w:rsidRPr="00F0730C">
              <w:rPr>
                <w:rFonts w:hAnsi="ＭＳ 明朝" w:cs="Tahoma"/>
              </w:rPr>
              <w:t>開示・記載上の注意</w:t>
            </w:r>
          </w:p>
        </w:tc>
      </w:tr>
      <w:tr w:rsidR="005B079E" w:rsidRPr="00F0730C" w:rsidTr="00517E5F">
        <w:trPr>
          <w:trHeight w:val="171"/>
        </w:trPr>
        <w:tc>
          <w:tcPr>
            <w:tcW w:w="2775" w:type="dxa"/>
            <w:tcBorders>
              <w:top w:val="single" w:sz="4" w:space="0" w:color="auto"/>
              <w:bottom w:val="single" w:sz="4" w:space="0" w:color="auto"/>
            </w:tcBorders>
            <w:shd w:val="clear" w:color="auto" w:fill="auto"/>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　開示資料の表題</w:t>
            </w:r>
          </w:p>
        </w:tc>
        <w:tc>
          <w:tcPr>
            <w:tcW w:w="6729" w:type="dxa"/>
            <w:tcBorders>
              <w:top w:val="single" w:sz="4" w:space="0" w:color="auto"/>
              <w:bottom w:val="single" w:sz="4" w:space="0" w:color="auto"/>
            </w:tcBorders>
            <w:shd w:val="clear" w:color="auto" w:fill="auto"/>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表題は「ＭＳＣＢ等の大量行使に関するお知らせ」としてください。</w:t>
            </w:r>
          </w:p>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　なお、「ＭＳＣＢ等」の部分については、これに代えて、「転換価額修正条項付新株予約権付社債」又は「行使価額修正条項付新株予約権付社債」のように表題の文中に転換価額等の修正条項が設けられている旨を記載することでも差し支えないものと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１．銘柄名</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int="eastAsia"/>
                <w:sz w:val="18"/>
                <w:szCs w:val="18"/>
              </w:rPr>
              <w:t>※　複数のＭＳＣＢ等を発行している場合、項番１．から６．までの各項目について、銘柄（回号）ごとにそれぞれ記載する。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２．</w:t>
            </w:r>
            <w:proofErr w:type="gramStart"/>
            <w:r w:rsidRPr="00F0730C">
              <w:rPr>
                <w:rFonts w:hint="eastAsia"/>
                <w:sz w:val="18"/>
                <w:szCs w:val="18"/>
              </w:rPr>
              <w:t>月初</w:t>
            </w:r>
            <w:proofErr w:type="gramEnd"/>
            <w:r w:rsidRPr="00F0730C">
              <w:rPr>
                <w:rFonts w:hint="eastAsia"/>
                <w:sz w:val="18"/>
                <w:szCs w:val="18"/>
              </w:rPr>
              <w:t>からの交付株式数</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３．</w:t>
            </w:r>
            <w:proofErr w:type="gramStart"/>
            <w:r w:rsidRPr="00F0730C">
              <w:rPr>
                <w:rFonts w:hint="eastAsia"/>
                <w:sz w:val="18"/>
                <w:szCs w:val="18"/>
              </w:rPr>
              <w:t>月初</w:t>
            </w:r>
            <w:proofErr w:type="gramEnd"/>
            <w:r w:rsidRPr="00F0730C">
              <w:rPr>
                <w:rFonts w:hint="eastAsia"/>
                <w:sz w:val="18"/>
                <w:szCs w:val="18"/>
              </w:rPr>
              <w:t>からの転換（行使）額面総額</w:t>
            </w:r>
            <w:r>
              <w:rPr>
                <w:rFonts w:hint="eastAsia"/>
                <w:sz w:val="18"/>
                <w:szCs w:val="18"/>
              </w:rPr>
              <w:t>及び発行総額に対する転換（行使）比率</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新株予約権の場合は、対象月間中に行使された新株予約権の数（個）</w:t>
            </w:r>
            <w:r>
              <w:rPr>
                <w:rFonts w:hint="eastAsia"/>
                <w:sz w:val="18"/>
                <w:szCs w:val="18"/>
              </w:rPr>
              <w:t>及び</w:t>
            </w:r>
            <w:r w:rsidRPr="00F0730C">
              <w:rPr>
                <w:rFonts w:hint="eastAsia"/>
                <w:sz w:val="18"/>
                <w:szCs w:val="18"/>
              </w:rPr>
              <w:t>新株予約権の</w:t>
            </w:r>
            <w:r>
              <w:rPr>
                <w:rFonts w:hint="eastAsia"/>
                <w:sz w:val="18"/>
                <w:szCs w:val="18"/>
              </w:rPr>
              <w:t>発行総数</w:t>
            </w:r>
            <w:r w:rsidRPr="00F0730C">
              <w:rPr>
                <w:rFonts w:hint="eastAsia"/>
                <w:sz w:val="18"/>
                <w:szCs w:val="18"/>
              </w:rPr>
              <w:t>（個）</w:t>
            </w:r>
            <w:r>
              <w:rPr>
                <w:rFonts w:hint="eastAsia"/>
                <w:sz w:val="18"/>
                <w:szCs w:val="18"/>
              </w:rPr>
              <w:t>に対する行使比率</w:t>
            </w:r>
            <w:r w:rsidRPr="00F0730C">
              <w:rPr>
                <w:rFonts w:hint="eastAsia"/>
                <w:sz w:val="18"/>
                <w:szCs w:val="18"/>
              </w:rPr>
              <w:t>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４．前月末時点における未行使残存額</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新株予約権の場合は、対象月の前月末時点における未行使の新株予約権の数（個）を記載する。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５．現時点における未行使残存額</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新株予約権の場合は、対象月の月末時点における未行使の新株予約権の数（個）を記載する。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６．</w:t>
            </w:r>
            <w:proofErr w:type="gramStart"/>
            <w:r w:rsidRPr="00F0730C">
              <w:rPr>
                <w:rFonts w:hint="eastAsia"/>
                <w:sz w:val="18"/>
                <w:szCs w:val="18"/>
              </w:rPr>
              <w:t>月初</w:t>
            </w:r>
            <w:proofErr w:type="gramEnd"/>
            <w:r w:rsidRPr="00F0730C">
              <w:rPr>
                <w:rFonts w:hint="eastAsia"/>
                <w:sz w:val="18"/>
                <w:szCs w:val="18"/>
              </w:rPr>
              <w:t>からの転換（行使）状況</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sz w:val="18"/>
                <w:szCs w:val="18"/>
              </w:rPr>
            </w:pPr>
            <w:r w:rsidRPr="00F0730C">
              <w:rPr>
                <w:rFonts w:hint="eastAsia"/>
                <w:sz w:val="18"/>
                <w:szCs w:val="18"/>
              </w:rPr>
              <w:t xml:space="preserve">・　</w:t>
            </w:r>
            <w:proofErr w:type="gramStart"/>
            <w:r w:rsidRPr="00F0730C">
              <w:rPr>
                <w:rFonts w:hint="eastAsia"/>
                <w:sz w:val="18"/>
                <w:szCs w:val="18"/>
              </w:rPr>
              <w:t>月初</w:t>
            </w:r>
            <w:proofErr w:type="gramEnd"/>
            <w:r w:rsidRPr="00F0730C">
              <w:rPr>
                <w:rFonts w:hint="eastAsia"/>
                <w:sz w:val="18"/>
                <w:szCs w:val="18"/>
              </w:rPr>
              <w:t>からの日付ごとに交付株式数（新株・移転自己株式）、転換（行使）価額、転換（行使）額面総額（新株予約権の場合は、行使された新株予約権の個数）を記載する。</w:t>
            </w:r>
          </w:p>
          <w:p w:rsidR="005B079E" w:rsidRPr="00F0730C" w:rsidRDefault="005B079E" w:rsidP="00517E5F">
            <w:pPr>
              <w:snapToGrid w:val="0"/>
              <w:spacing w:line="260" w:lineRule="exact"/>
              <w:ind w:leftChars="270" w:left="682" w:hangingChars="100" w:hanging="170"/>
              <w:rPr>
                <w:sz w:val="18"/>
                <w:szCs w:val="18"/>
              </w:rPr>
            </w:pPr>
            <w:r w:rsidRPr="00F0730C">
              <w:rPr>
                <w:rFonts w:hint="eastAsia"/>
                <w:sz w:val="18"/>
                <w:szCs w:val="18"/>
              </w:rPr>
              <w:t>※　行使がなかった日は、当該日付の欄は削除せず、転換（行使）価額のみを記載する（交付株式数、行使額面総額は「－」とする。）。</w:t>
            </w:r>
          </w:p>
          <w:p w:rsidR="005B079E" w:rsidRPr="00F0730C" w:rsidRDefault="005B079E" w:rsidP="00517E5F">
            <w:pPr>
              <w:snapToGrid w:val="0"/>
              <w:spacing w:line="260" w:lineRule="exact"/>
              <w:ind w:leftChars="90" w:left="171" w:firstLineChars="200" w:firstLine="340"/>
              <w:rPr>
                <w:sz w:val="18"/>
                <w:szCs w:val="18"/>
              </w:rPr>
            </w:pPr>
            <w:r w:rsidRPr="00F0730C">
              <w:rPr>
                <w:rFonts w:hint="eastAsia"/>
                <w:sz w:val="18"/>
                <w:szCs w:val="18"/>
              </w:rPr>
              <w:t>※　前月末時点における発行済株式数についても併せて注記する。</w:t>
            </w:r>
          </w:p>
        </w:tc>
      </w:tr>
      <w:tr w:rsidR="005B079E" w:rsidRPr="00F0730C" w:rsidTr="00517E5F">
        <w:trPr>
          <w:trHeight w:val="67"/>
        </w:trPr>
        <w:tc>
          <w:tcPr>
            <w:tcW w:w="2775"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r w:rsidRPr="00F0730C">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rsidR="005B079E" w:rsidRPr="00F0730C" w:rsidRDefault="005B079E" w:rsidP="00517E5F">
            <w:pPr>
              <w:snapToGrid w:val="0"/>
              <w:spacing w:line="260" w:lineRule="exact"/>
              <w:ind w:left="170" w:hangingChars="100" w:hanging="170"/>
              <w:rPr>
                <w:rFonts w:hAnsi="ＭＳ 明朝" w:cs="Tahoma"/>
                <w:sz w:val="18"/>
                <w:szCs w:val="18"/>
              </w:rPr>
            </w:pPr>
          </w:p>
        </w:tc>
      </w:tr>
    </w:tbl>
    <w:p w:rsidR="005B079E" w:rsidRPr="00F0730C" w:rsidRDefault="005B079E" w:rsidP="005B079E">
      <w:pPr>
        <w:spacing w:line="260" w:lineRule="exact"/>
        <w:ind w:left="340" w:hangingChars="200" w:hanging="340"/>
        <w:rPr>
          <w:sz w:val="18"/>
          <w:szCs w:val="18"/>
        </w:rPr>
      </w:pPr>
      <w:r w:rsidRPr="00F0730C">
        <w:rPr>
          <w:rFonts w:hint="eastAsia"/>
          <w:sz w:val="18"/>
          <w:szCs w:val="18"/>
        </w:rPr>
        <w:t>（注）同月中における開示後の転換累計又は行使累計が当該ＭＳＣＢ等の発行総額の１０％以上となった場合に開示するときは、２．３．４．及び６．の開示事項について、それぞれ「前回開示後からの交付株式数」「前回開示後からの転換（行使）額面総額」「前回開示時点における未行使残存額」及び「前回開示後からの転換（行使）状況」として開示する。</w:t>
      </w:r>
    </w:p>
    <w:p w:rsidR="005B079E" w:rsidRPr="00F0730C" w:rsidRDefault="005B079E" w:rsidP="005B079E"/>
    <w:p w:rsidR="008110A5" w:rsidRPr="005B079E" w:rsidRDefault="00860801" w:rsidP="005B079E"/>
    <w:sectPr w:rsidR="008110A5" w:rsidRPr="005B079E" w:rsidSect="008C4325">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801" w:rsidRDefault="00860801" w:rsidP="00D454C2">
      <w:r>
        <w:separator/>
      </w:r>
    </w:p>
  </w:endnote>
  <w:endnote w:type="continuationSeparator" w:id="0">
    <w:p w:rsidR="00860801" w:rsidRDefault="0086080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67041"/>
      <w:docPartObj>
        <w:docPartGallery w:val="Page Numbers (Bottom of Page)"/>
        <w:docPartUnique/>
      </w:docPartObj>
    </w:sdtPr>
    <w:sdtContent>
      <w:p w:rsidR="008C4325" w:rsidRDefault="008C4325">
        <w:pPr>
          <w:pStyle w:val="a7"/>
          <w:jc w:val="center"/>
        </w:pPr>
        <w:r>
          <w:fldChar w:fldCharType="begin"/>
        </w:r>
        <w:r>
          <w:instrText>PAGE   \* MERGEFORMAT</w:instrText>
        </w:r>
        <w:r>
          <w:fldChar w:fldCharType="separate"/>
        </w:r>
        <w:r>
          <w:rPr>
            <w:lang w:val="ja-JP"/>
          </w:rPr>
          <w:t>2</w:t>
        </w:r>
        <w:r>
          <w:fldChar w:fldCharType="end"/>
        </w:r>
      </w:p>
    </w:sdtContent>
  </w:sdt>
  <w:p w:rsidR="008C4325" w:rsidRDefault="008C43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801" w:rsidRDefault="00860801" w:rsidP="00D454C2">
      <w:r>
        <w:separator/>
      </w:r>
    </w:p>
  </w:footnote>
  <w:footnote w:type="continuationSeparator" w:id="0">
    <w:p w:rsidR="00860801" w:rsidRDefault="00860801"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325" w:rsidRDefault="008C4325" w:rsidP="008C4325">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8C4325" w:rsidRDefault="008C4325" w:rsidP="008C4325">
    <w:pPr>
      <w:pStyle w:val="a5"/>
      <w:ind w:leftChars="74" w:left="148"/>
      <w:rPr>
        <w:rFonts w:ascii="HGｺﾞｼｯｸM" w:eastAsia="HGｺﾞｼｯｸM"/>
        <w:sz w:val="16"/>
        <w:szCs w:val="16"/>
      </w:rPr>
    </w:pPr>
    <w:r w:rsidRPr="008C4325">
      <w:rPr>
        <w:rFonts w:ascii="HGｺﾞｼｯｸM" w:eastAsia="HGｺﾞｼｯｸM" w:hint="eastAsia"/>
        <w:sz w:val="16"/>
        <w:szCs w:val="16"/>
      </w:rPr>
      <w:t>開示資料には、所定の開示事項を掲記し、開示・記載上の注意を参照のうえ、投資者が会社情報を適切に理解・判断できるよう記載してください。また、所定の開示事項に限らず、投資者が会社情報を適切に理解・判断するために必要な事項も記載してください。</w:t>
    </w:r>
  </w:p>
  <w:p w:rsidR="008C4325" w:rsidRPr="008C4325" w:rsidRDefault="008C4325" w:rsidP="008C4325">
    <w:pPr>
      <w:pStyle w:val="a5"/>
      <w:ind w:leftChars="74" w:left="14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6EE6"/>
    <w:rsid w:val="00127F74"/>
    <w:rsid w:val="0029283B"/>
    <w:rsid w:val="003430B4"/>
    <w:rsid w:val="0039638B"/>
    <w:rsid w:val="003F426F"/>
    <w:rsid w:val="00534E82"/>
    <w:rsid w:val="005B079E"/>
    <w:rsid w:val="007B068D"/>
    <w:rsid w:val="00860801"/>
    <w:rsid w:val="008C4325"/>
    <w:rsid w:val="009111D8"/>
    <w:rsid w:val="00A63642"/>
    <w:rsid w:val="00AF5CCF"/>
    <w:rsid w:val="00B71FCD"/>
    <w:rsid w:val="00D321F7"/>
    <w:rsid w:val="00D454C2"/>
    <w:rsid w:val="00D4558C"/>
    <w:rsid w:val="00DC61F6"/>
    <w:rsid w:val="00E107F3"/>
    <w:rsid w:val="00E30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2B1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2020-10-22T09:41:00Z</dcterms:modified>
</cp:coreProperties>
</file>